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88" w:rsidRPr="008A6695" w:rsidRDefault="00FA1B88" w:rsidP="00FA1B88">
      <w:pPr>
        <w:pStyle w:val="BodyText"/>
        <w:spacing w:before="120"/>
      </w:pPr>
      <w:bookmarkStart w:id="0" w:name="_Toc410051828"/>
      <w:r>
        <w:t>October 21, 2015</w:t>
      </w:r>
    </w:p>
    <w:p w:rsidR="008A6695" w:rsidRPr="00FA1B88" w:rsidRDefault="001C77BC" w:rsidP="00FA1B88">
      <w:pPr>
        <w:pStyle w:val="Title"/>
        <w:jc w:val="both"/>
        <w:rPr>
          <w:sz w:val="42"/>
          <w:szCs w:val="42"/>
          <w:u w:val="single"/>
        </w:rPr>
      </w:pPr>
      <w:r w:rsidRPr="00FA1B88">
        <w:rPr>
          <w:sz w:val="42"/>
          <w:szCs w:val="42"/>
          <w:u w:val="single"/>
        </w:rPr>
        <w:t xml:space="preserve">LEED Credits Associated with </w:t>
      </w:r>
      <w:r w:rsidR="001D5026" w:rsidRPr="00FA1B88">
        <w:rPr>
          <w:sz w:val="42"/>
          <w:szCs w:val="42"/>
          <w:u w:val="single"/>
        </w:rPr>
        <w:t xml:space="preserve">Electric </w:t>
      </w:r>
      <w:r w:rsidRPr="00FA1B88">
        <w:rPr>
          <w:sz w:val="42"/>
          <w:szCs w:val="42"/>
          <w:u w:val="single"/>
        </w:rPr>
        <w:t>Sub-Metering</w:t>
      </w:r>
    </w:p>
    <w:bookmarkEnd w:id="0"/>
    <w:p w:rsidR="001C77BC" w:rsidRDefault="001C77BC" w:rsidP="00150628">
      <w:pPr>
        <w:pStyle w:val="Heading1"/>
      </w:pPr>
      <w:r>
        <w:t>Introduction</w:t>
      </w:r>
    </w:p>
    <w:p w:rsidR="001C77BC" w:rsidRPr="001C77BC" w:rsidRDefault="001C77BC" w:rsidP="001C77BC">
      <w:pPr>
        <w:pStyle w:val="BodyText"/>
      </w:pPr>
      <w:r>
        <w:t xml:space="preserve">This report summarizes LEED credits associated with electric sub-metering. New projects can be registered under LEED version v3 2009 (until October 31, 2016) and LEED v4. </w:t>
      </w:r>
      <w:r w:rsidR="00F51BDC">
        <w:t>Credits that include an electrical sub-metering component are primarily listed in the Energy and Atmosphere category within the New Building Design &amp; Construction (BD+C), Operation and Maintenance (O+M), and Commercial Interiors (ID+C).</w:t>
      </w:r>
    </w:p>
    <w:p w:rsidR="009A38E6" w:rsidRDefault="009A38E6" w:rsidP="00150628">
      <w:pPr>
        <w:pStyle w:val="Heading1"/>
      </w:pPr>
      <w:r>
        <w:t>Summary</w:t>
      </w:r>
    </w:p>
    <w:p w:rsidR="009A38E6" w:rsidRDefault="009A38E6" w:rsidP="009A38E6">
      <w:pPr>
        <w:pStyle w:val="BodyText"/>
      </w:pPr>
      <w:proofErr w:type="spellStart"/>
      <w:proofErr w:type="gramStart"/>
      <w:r>
        <w:t>eGauge</w:t>
      </w:r>
      <w:proofErr w:type="spellEnd"/>
      <w:proofErr w:type="gramEnd"/>
      <w:r>
        <w:t xml:space="preserve"> would serve as the direct basis for achieving these credits:</w:t>
      </w:r>
    </w:p>
    <w:p w:rsidR="00A11954" w:rsidRDefault="00A11954" w:rsidP="00A11954">
      <w:pPr>
        <w:pStyle w:val="BodyText"/>
        <w:numPr>
          <w:ilvl w:val="0"/>
          <w:numId w:val="44"/>
        </w:numPr>
        <w:spacing w:after="0"/>
      </w:pPr>
      <w:r>
        <w:t>LEEDv</w:t>
      </w:r>
      <w:r>
        <w:t>4</w:t>
      </w:r>
      <w:r>
        <w:t xml:space="preserve"> BD+C EAp3: Building-Level Energy Metering. </w:t>
      </w:r>
    </w:p>
    <w:p w:rsidR="00A11954" w:rsidRDefault="00A11954" w:rsidP="00A11954">
      <w:pPr>
        <w:pStyle w:val="BodyText"/>
        <w:numPr>
          <w:ilvl w:val="0"/>
          <w:numId w:val="44"/>
        </w:numPr>
        <w:spacing w:after="0"/>
      </w:pPr>
      <w:r>
        <w:t xml:space="preserve">LEEDv4 BD+C EAc3 (1 point): Advanced Energy Metering. </w:t>
      </w:r>
    </w:p>
    <w:p w:rsidR="003862A3" w:rsidRDefault="003862A3" w:rsidP="003862A3">
      <w:pPr>
        <w:pStyle w:val="BodyText"/>
        <w:numPr>
          <w:ilvl w:val="0"/>
          <w:numId w:val="44"/>
        </w:numPr>
        <w:spacing w:after="0"/>
      </w:pPr>
      <w:r>
        <w:t xml:space="preserve">LEEDv3 </w:t>
      </w:r>
      <w:r>
        <w:t xml:space="preserve">O+M EAc3.2 (2 points): Performance Measurement – System-Level Metering </w:t>
      </w:r>
    </w:p>
    <w:p w:rsidR="005066CA" w:rsidRDefault="005066CA" w:rsidP="005066CA">
      <w:pPr>
        <w:pStyle w:val="BodyText"/>
        <w:numPr>
          <w:ilvl w:val="0"/>
          <w:numId w:val="44"/>
        </w:numPr>
        <w:spacing w:after="0"/>
      </w:pPr>
      <w:r>
        <w:t>LEEDv4</w:t>
      </w:r>
      <w:r>
        <w:t xml:space="preserve"> </w:t>
      </w:r>
      <w:r>
        <w:t xml:space="preserve">O+M EAp3: Building-Level Energy Metering. </w:t>
      </w:r>
    </w:p>
    <w:p w:rsidR="003862A3" w:rsidRDefault="003862A3" w:rsidP="003862A3">
      <w:pPr>
        <w:pStyle w:val="BodyText"/>
        <w:numPr>
          <w:ilvl w:val="0"/>
          <w:numId w:val="44"/>
        </w:numPr>
        <w:spacing w:after="0"/>
      </w:pPr>
      <w:r>
        <w:t xml:space="preserve">LEEDv4 O+M EAc4 (2 points): Advanced Energy Metering </w:t>
      </w:r>
    </w:p>
    <w:p w:rsidR="009A38E6" w:rsidRPr="00B235E6" w:rsidRDefault="00B235E6" w:rsidP="009A38E6">
      <w:pPr>
        <w:pStyle w:val="BodyText"/>
        <w:numPr>
          <w:ilvl w:val="0"/>
          <w:numId w:val="44"/>
        </w:numPr>
      </w:pPr>
      <w:r w:rsidRPr="00B235E6">
        <w:t>LEEDv4</w:t>
      </w:r>
      <w:r w:rsidRPr="00B235E6">
        <w:t xml:space="preserve"> </w:t>
      </w:r>
      <w:r w:rsidRPr="00B235E6">
        <w:t>ID+C EAc3 (2 point): Advanced Energy Metering</w:t>
      </w:r>
    </w:p>
    <w:p w:rsidR="009A38E6" w:rsidRDefault="009A38E6" w:rsidP="009A38E6">
      <w:pPr>
        <w:pStyle w:val="BodyText"/>
      </w:pPr>
      <w:proofErr w:type="spellStart"/>
      <w:proofErr w:type="gramStart"/>
      <w:r>
        <w:t>eGauge</w:t>
      </w:r>
      <w:proofErr w:type="spellEnd"/>
      <w:proofErr w:type="gramEnd"/>
      <w:r>
        <w:t xml:space="preserve"> could meet the hardware component requirements of these points</w:t>
      </w:r>
      <w:r w:rsidR="005066CA">
        <w:t xml:space="preserve">; points </w:t>
      </w:r>
      <w:r>
        <w:t xml:space="preserve">are related to </w:t>
      </w:r>
      <w:r w:rsidR="005066CA">
        <w:t xml:space="preserve">bigger </w:t>
      </w:r>
      <w:r>
        <w:t xml:space="preserve">picture </w:t>
      </w:r>
      <w:r w:rsidR="005066CA">
        <w:t>items (</w:t>
      </w:r>
      <w:r>
        <w:t>program or plans</w:t>
      </w:r>
      <w:r w:rsidR="005066CA">
        <w:t>)</w:t>
      </w:r>
      <w:r>
        <w:t>.</w:t>
      </w:r>
    </w:p>
    <w:p w:rsidR="009A38E6" w:rsidRDefault="00A11954" w:rsidP="00A11954">
      <w:pPr>
        <w:pStyle w:val="BodyText"/>
        <w:numPr>
          <w:ilvl w:val="0"/>
          <w:numId w:val="44"/>
        </w:numPr>
        <w:spacing w:after="0"/>
      </w:pPr>
      <w:r>
        <w:t xml:space="preserve">LEEDv3 </w:t>
      </w:r>
      <w:r>
        <w:t>BD+C EAc5 (3 points): Measurement and Verification</w:t>
      </w:r>
    </w:p>
    <w:p w:rsidR="00A11954" w:rsidRDefault="00A11954" w:rsidP="00A11954">
      <w:pPr>
        <w:pStyle w:val="BodyText"/>
        <w:numPr>
          <w:ilvl w:val="0"/>
          <w:numId w:val="44"/>
        </w:numPr>
        <w:spacing w:after="0"/>
      </w:pPr>
      <w:r>
        <w:t xml:space="preserve">LEEDv4 BD+C EAc4 (2 points): Demand Response. </w:t>
      </w:r>
    </w:p>
    <w:p w:rsidR="003862A3" w:rsidRDefault="003862A3" w:rsidP="003862A3">
      <w:pPr>
        <w:pStyle w:val="BodyText"/>
        <w:numPr>
          <w:ilvl w:val="0"/>
          <w:numId w:val="44"/>
        </w:numPr>
        <w:spacing w:after="0"/>
      </w:pPr>
      <w:r>
        <w:t xml:space="preserve">LEEDv3 O+M EAp2: Minimum Energy Efficiency Performance. </w:t>
      </w:r>
    </w:p>
    <w:p w:rsidR="003862A3" w:rsidRDefault="003862A3" w:rsidP="003862A3">
      <w:pPr>
        <w:pStyle w:val="BodyText"/>
        <w:numPr>
          <w:ilvl w:val="0"/>
          <w:numId w:val="44"/>
        </w:numPr>
        <w:spacing w:after="0"/>
      </w:pPr>
      <w:r>
        <w:t xml:space="preserve">LEEDv3 O+M EAc1 (18 points): Optimize Energy Efficiency Performance. </w:t>
      </w:r>
      <w:bookmarkStart w:id="1" w:name="_GoBack"/>
      <w:bookmarkEnd w:id="1"/>
    </w:p>
    <w:p w:rsidR="00D80270" w:rsidRDefault="00D80270" w:rsidP="003862A3">
      <w:pPr>
        <w:pStyle w:val="BodyText"/>
        <w:numPr>
          <w:ilvl w:val="0"/>
          <w:numId w:val="44"/>
        </w:numPr>
        <w:spacing w:after="0"/>
      </w:pPr>
      <w:r>
        <w:t xml:space="preserve">LEEDv3 </w:t>
      </w:r>
      <w:r>
        <w:t>O+M EAc4 (6 points): Renewable Energy and Carbon Offsets</w:t>
      </w:r>
    </w:p>
    <w:p w:rsidR="005066CA" w:rsidRDefault="005066CA" w:rsidP="005066CA">
      <w:pPr>
        <w:pStyle w:val="BodyText"/>
        <w:numPr>
          <w:ilvl w:val="0"/>
          <w:numId w:val="44"/>
        </w:numPr>
        <w:spacing w:after="0"/>
      </w:pPr>
      <w:r>
        <w:t>LEEDv4</w:t>
      </w:r>
      <w:r>
        <w:t xml:space="preserve"> </w:t>
      </w:r>
      <w:r>
        <w:t xml:space="preserve">O+M EAp2: Minimum Energy Efficiency Performance. </w:t>
      </w:r>
    </w:p>
    <w:p w:rsidR="005066CA" w:rsidRDefault="005066CA" w:rsidP="005066CA">
      <w:pPr>
        <w:pStyle w:val="BodyText"/>
        <w:numPr>
          <w:ilvl w:val="0"/>
          <w:numId w:val="44"/>
        </w:numPr>
        <w:spacing w:after="0"/>
      </w:pPr>
      <w:r>
        <w:t>LEEDv4 O+M EAc3 (20 points): Optimize Energy Efficiency Performance</w:t>
      </w:r>
    </w:p>
    <w:p w:rsidR="003862A3" w:rsidRDefault="003862A3" w:rsidP="003862A3">
      <w:pPr>
        <w:pStyle w:val="BodyText"/>
        <w:numPr>
          <w:ilvl w:val="0"/>
          <w:numId w:val="44"/>
        </w:numPr>
        <w:spacing w:after="0"/>
      </w:pPr>
      <w:r>
        <w:t>LEEDv4</w:t>
      </w:r>
      <w:r>
        <w:t xml:space="preserve"> </w:t>
      </w:r>
      <w:r w:rsidR="00C02FA8">
        <w:t>O+M</w:t>
      </w:r>
      <w:r>
        <w:t xml:space="preserve"> EAc4 (2 points): Demand Response. </w:t>
      </w:r>
    </w:p>
    <w:p w:rsidR="00825642" w:rsidRDefault="00825642" w:rsidP="00825642">
      <w:pPr>
        <w:pStyle w:val="BodyText"/>
        <w:numPr>
          <w:ilvl w:val="0"/>
          <w:numId w:val="44"/>
        </w:numPr>
        <w:spacing w:after="0"/>
      </w:pPr>
      <w:r>
        <w:t xml:space="preserve">LEEDv4 </w:t>
      </w:r>
      <w:r>
        <w:t xml:space="preserve">O+M EAc6 (5 points): Renewable Energy and Carbon Offsets. </w:t>
      </w:r>
    </w:p>
    <w:p w:rsidR="00C02FA8" w:rsidRDefault="00C02FA8" w:rsidP="00C02FA8">
      <w:pPr>
        <w:pStyle w:val="BodyText"/>
        <w:numPr>
          <w:ilvl w:val="0"/>
          <w:numId w:val="44"/>
        </w:numPr>
        <w:spacing w:after="0"/>
      </w:pPr>
      <w:r>
        <w:t xml:space="preserve">LEEDv3 </w:t>
      </w:r>
      <w:r>
        <w:t xml:space="preserve">ID+C EAc3 (5 points): Measurement and Verification. </w:t>
      </w:r>
    </w:p>
    <w:p w:rsidR="00A11954" w:rsidRDefault="00B235E6" w:rsidP="00B235E6">
      <w:pPr>
        <w:pStyle w:val="BodyText"/>
        <w:spacing w:before="120"/>
        <w:rPr>
          <w:rFonts w:ascii="Arial" w:hAnsi="Arial" w:cs="Arial"/>
          <w:b/>
          <w:bCs/>
          <w:smallCaps/>
          <w:color w:val="39B54A"/>
          <w:spacing w:val="30"/>
          <w:kern w:val="32"/>
          <w:sz w:val="32"/>
          <w:szCs w:val="32"/>
        </w:rPr>
      </w:pPr>
      <w:r>
        <w:t xml:space="preserve">There are a few other credits listed in the detail section below that are a bit of a stretch to relate to </w:t>
      </w:r>
      <w:proofErr w:type="spellStart"/>
      <w:r>
        <w:t>eGauge</w:t>
      </w:r>
      <w:proofErr w:type="spellEnd"/>
      <w:r w:rsidR="00146011">
        <w:t xml:space="preserve"> as they are primarily commissioning service related points. </w:t>
      </w:r>
      <w:r w:rsidR="00A11954">
        <w:br w:type="page"/>
      </w:r>
    </w:p>
    <w:p w:rsidR="00EF33F0" w:rsidRDefault="00537394" w:rsidP="00150628">
      <w:pPr>
        <w:pStyle w:val="Heading1"/>
      </w:pPr>
      <w:r>
        <w:lastRenderedPageBreak/>
        <w:t>Energy and Atmosphere</w:t>
      </w:r>
    </w:p>
    <w:p w:rsidR="008A43C1" w:rsidRPr="008A43C1" w:rsidRDefault="008A43C1" w:rsidP="008A43C1">
      <w:pPr>
        <w:pStyle w:val="BodyText"/>
      </w:pPr>
      <w:r>
        <w:t xml:space="preserve">More information on these credits can be obtained by going to </w:t>
      </w:r>
      <w:hyperlink r:id="rId10" w:history="1">
        <w:r w:rsidR="00B55C33" w:rsidRPr="006E306F">
          <w:rPr>
            <w:rStyle w:val="Hyperlink"/>
          </w:rPr>
          <w:t>http://www.u</w:t>
        </w:r>
        <w:r w:rsidR="00B55C33" w:rsidRPr="006E306F">
          <w:rPr>
            <w:rStyle w:val="Hyperlink"/>
          </w:rPr>
          <w:t>s</w:t>
        </w:r>
        <w:r w:rsidR="00B55C33" w:rsidRPr="006E306F">
          <w:rPr>
            <w:rStyle w:val="Hyperlink"/>
          </w:rPr>
          <w:t>gbc.org/c</w:t>
        </w:r>
        <w:r w:rsidR="00B55C33" w:rsidRPr="006E306F">
          <w:rPr>
            <w:rStyle w:val="Hyperlink"/>
          </w:rPr>
          <w:t>r</w:t>
        </w:r>
        <w:r w:rsidR="00B55C33" w:rsidRPr="006E306F">
          <w:rPr>
            <w:rStyle w:val="Hyperlink"/>
          </w:rPr>
          <w:t>edits</w:t>
        </w:r>
      </w:hyperlink>
      <w:r w:rsidR="00B55C33">
        <w:t xml:space="preserve"> </w:t>
      </w:r>
    </w:p>
    <w:p w:rsidR="00537394" w:rsidRDefault="00537394" w:rsidP="009F1307">
      <w:pPr>
        <w:pStyle w:val="Heading2"/>
        <w:spacing w:before="120"/>
        <w:rPr>
          <w:i w:val="0"/>
        </w:rPr>
      </w:pPr>
      <w:r w:rsidRPr="00537394">
        <w:rPr>
          <w:i w:val="0"/>
        </w:rPr>
        <w:t xml:space="preserve">New Building Design and Construction </w:t>
      </w:r>
    </w:p>
    <w:p w:rsidR="002470F5" w:rsidRPr="008A6695" w:rsidRDefault="00F51BDC" w:rsidP="00537394">
      <w:pPr>
        <w:pStyle w:val="Heading3"/>
        <w:rPr>
          <w:i w:val="0"/>
        </w:rPr>
      </w:pPr>
      <w:r>
        <w:rPr>
          <w:i w:val="0"/>
        </w:rPr>
        <w:t>LEED v3 2009</w:t>
      </w:r>
    </w:p>
    <w:p w:rsidR="008E7D05" w:rsidRDefault="008E7D05" w:rsidP="008E7D05">
      <w:pPr>
        <w:pStyle w:val="BodyText"/>
        <w:numPr>
          <w:ilvl w:val="0"/>
          <w:numId w:val="41"/>
        </w:numPr>
        <w:spacing w:after="0"/>
      </w:pPr>
      <w:r>
        <w:t>BD+C EAc5</w:t>
      </w:r>
      <w:r w:rsidR="00F55F9F">
        <w:t xml:space="preserve"> (3 points)</w:t>
      </w:r>
      <w:r>
        <w:t xml:space="preserve">: Measurement and Verification. </w:t>
      </w:r>
    </w:p>
    <w:p w:rsidR="00A11954" w:rsidRDefault="00A11954" w:rsidP="00A11954">
      <w:pPr>
        <w:pStyle w:val="BodyText"/>
        <w:numPr>
          <w:ilvl w:val="1"/>
          <w:numId w:val="41"/>
        </w:numPr>
        <w:spacing w:after="0"/>
      </w:pPr>
      <w:r>
        <w:t>Develop and implement a measurem</w:t>
      </w:r>
      <w:r>
        <w:t xml:space="preserve">ent and verification (M&amp;V) plan. </w:t>
      </w:r>
      <w:r>
        <w:t>The M&amp;V period must cover at least 1 year of post</w:t>
      </w:r>
      <w:r>
        <w:t>-</w:t>
      </w:r>
      <w:r>
        <w:t>construction occupancy.</w:t>
      </w:r>
      <w:r>
        <w:t xml:space="preserve"> </w:t>
      </w:r>
      <w:r>
        <w:t>Provide a process for corrective action if the results of the M&amp;V plan indicate that energy savings are not being achieved.</w:t>
      </w:r>
      <w:r>
        <w:t xml:space="preserve"> </w:t>
      </w:r>
    </w:p>
    <w:p w:rsidR="008E7D05" w:rsidRPr="00A11954" w:rsidRDefault="00A11954" w:rsidP="00A11954">
      <w:pPr>
        <w:pStyle w:val="BodyText"/>
        <w:numPr>
          <w:ilvl w:val="1"/>
          <w:numId w:val="41"/>
        </w:numPr>
        <w:spacing w:after="0"/>
        <w:rPr>
          <w:i/>
        </w:rPr>
      </w:pPr>
      <w:r w:rsidRPr="00A11954">
        <w:rPr>
          <w:i/>
        </w:rPr>
        <w:t xml:space="preserve">Note that </w:t>
      </w:r>
      <w:proofErr w:type="spellStart"/>
      <w:r w:rsidRPr="00A11954">
        <w:rPr>
          <w:i/>
        </w:rPr>
        <w:t>eGauge</w:t>
      </w:r>
      <w:proofErr w:type="spellEnd"/>
      <w:r w:rsidRPr="00A11954">
        <w:rPr>
          <w:i/>
        </w:rPr>
        <w:t xml:space="preserve"> could be related to m</w:t>
      </w:r>
      <w:r w:rsidR="008E7D05" w:rsidRPr="00A11954">
        <w:rPr>
          <w:i/>
        </w:rPr>
        <w:t xml:space="preserve">onitoring whole building load (or individual equipment) as part of the monitoring plan.  </w:t>
      </w:r>
    </w:p>
    <w:p w:rsidR="00537394" w:rsidRPr="008A6695" w:rsidRDefault="00537394" w:rsidP="00905CB8">
      <w:pPr>
        <w:pStyle w:val="Heading3"/>
        <w:spacing w:before="0"/>
        <w:rPr>
          <w:i w:val="0"/>
        </w:rPr>
      </w:pPr>
      <w:r>
        <w:rPr>
          <w:i w:val="0"/>
        </w:rPr>
        <w:t>LEED v4</w:t>
      </w:r>
    </w:p>
    <w:p w:rsidR="00F55F9F" w:rsidRPr="003862A3" w:rsidRDefault="00F55F9F" w:rsidP="00F55F9F">
      <w:pPr>
        <w:pStyle w:val="BodyText"/>
        <w:numPr>
          <w:ilvl w:val="0"/>
          <w:numId w:val="41"/>
        </w:numPr>
        <w:spacing w:after="0"/>
        <w:rPr>
          <w:b/>
        </w:rPr>
      </w:pPr>
      <w:r w:rsidRPr="003862A3">
        <w:rPr>
          <w:b/>
        </w:rPr>
        <w:t xml:space="preserve">BD+C EAp3: Building-Level Energy Metering. </w:t>
      </w:r>
    </w:p>
    <w:p w:rsidR="00F55F9F" w:rsidRDefault="00F55F9F" w:rsidP="00A11954">
      <w:pPr>
        <w:pStyle w:val="BodyText"/>
        <w:numPr>
          <w:ilvl w:val="1"/>
          <w:numId w:val="41"/>
        </w:numPr>
        <w:spacing w:after="0"/>
      </w:pPr>
      <w:r w:rsidRPr="00F55F9F">
        <w:t xml:space="preserve">Install new or use existing </w:t>
      </w:r>
      <w:r w:rsidRPr="00F55F9F">
        <w:rPr>
          <w:b/>
        </w:rPr>
        <w:t>building-level energy meters</w:t>
      </w:r>
      <w:r w:rsidRPr="008A43C1">
        <w:rPr>
          <w:b/>
        </w:rPr>
        <w:t xml:space="preserve">, or </w:t>
      </w:r>
      <w:proofErr w:type="spellStart"/>
      <w:r w:rsidRPr="008A43C1">
        <w:rPr>
          <w:b/>
        </w:rPr>
        <w:t>submeters</w:t>
      </w:r>
      <w:proofErr w:type="spellEnd"/>
      <w:r w:rsidRPr="00F55F9F">
        <w:t xml:space="preserve"> that can be aggregated to provide building-level data representing total building energy consumption (electricity, natural gas, chilled water, steam, fuel oil, propane, biomass, </w:t>
      </w:r>
      <w:proofErr w:type="spellStart"/>
      <w:r w:rsidRPr="00F55F9F">
        <w:t>etc</w:t>
      </w:r>
      <w:proofErr w:type="spellEnd"/>
      <w:r w:rsidRPr="00F55F9F">
        <w:t>).</w:t>
      </w:r>
      <w:r>
        <w:t xml:space="preserve"> </w:t>
      </w:r>
      <w:r w:rsidR="00A11954" w:rsidRPr="005066CA">
        <w:rPr>
          <w:u w:val="single"/>
        </w:rPr>
        <w:t>Utility-owned meters capable of aggregating building-level resource use are acceptable</w:t>
      </w:r>
      <w:r w:rsidR="00A11954" w:rsidRPr="00A11954">
        <w:t>.</w:t>
      </w:r>
    </w:p>
    <w:p w:rsidR="00A11954" w:rsidRDefault="00A11954" w:rsidP="00A11954">
      <w:pPr>
        <w:pStyle w:val="BodyText"/>
        <w:numPr>
          <w:ilvl w:val="1"/>
          <w:numId w:val="41"/>
        </w:numPr>
        <w:spacing w:after="0"/>
      </w:pPr>
      <w:r w:rsidRPr="00A11954">
        <w:t>Commit to sharing with USGBC the resulting energy consumption data and electrical demand data (if metered) for a five-year period. At a minimum, energy consumption must be tracked at one-month intervals.</w:t>
      </w:r>
    </w:p>
    <w:p w:rsidR="008A43C1" w:rsidRPr="003862A3" w:rsidRDefault="008A43C1" w:rsidP="008A43C1">
      <w:pPr>
        <w:pStyle w:val="BodyText"/>
        <w:numPr>
          <w:ilvl w:val="0"/>
          <w:numId w:val="41"/>
        </w:numPr>
        <w:spacing w:after="0"/>
        <w:rPr>
          <w:b/>
        </w:rPr>
      </w:pPr>
      <w:r w:rsidRPr="003862A3">
        <w:rPr>
          <w:b/>
        </w:rPr>
        <w:t xml:space="preserve">BD+C EAc3 (1 point): Advanced Energy Metering. </w:t>
      </w:r>
    </w:p>
    <w:p w:rsidR="008A43C1" w:rsidRDefault="008A43C1" w:rsidP="008A43C1">
      <w:pPr>
        <w:pStyle w:val="BodyText"/>
        <w:numPr>
          <w:ilvl w:val="1"/>
          <w:numId w:val="41"/>
        </w:numPr>
        <w:spacing w:after="0"/>
      </w:pPr>
      <w:r>
        <w:t xml:space="preserve">Install advanced </w:t>
      </w:r>
      <w:r w:rsidRPr="008A43C1">
        <w:rPr>
          <w:b/>
        </w:rPr>
        <w:t>energy metering</w:t>
      </w:r>
      <w:r>
        <w:t xml:space="preserve"> for the following: all whole-building energy sources used by the building; and any individual energy end uses that represent 10% or more of the total annual consumption of the building.  </w:t>
      </w:r>
    </w:p>
    <w:p w:rsidR="00A11954" w:rsidRDefault="00A11954" w:rsidP="00A11954">
      <w:pPr>
        <w:pStyle w:val="BodyText"/>
        <w:numPr>
          <w:ilvl w:val="1"/>
          <w:numId w:val="41"/>
        </w:numPr>
        <w:spacing w:after="0"/>
      </w:pPr>
      <w:r>
        <w:t>The advanced energy metering must have the following characteristics.</w:t>
      </w:r>
    </w:p>
    <w:p w:rsidR="00A11954" w:rsidRDefault="00A11954" w:rsidP="00A11954">
      <w:pPr>
        <w:pStyle w:val="BodyText"/>
        <w:numPr>
          <w:ilvl w:val="2"/>
          <w:numId w:val="41"/>
        </w:numPr>
        <w:spacing w:after="0"/>
      </w:pPr>
      <w:r>
        <w:t>Meters must be permanently installed, record at intervals of one hour or less, transmit data to a remote location</w:t>
      </w:r>
      <w:r w:rsidR="009F1307">
        <w:t xml:space="preserve">, and </w:t>
      </w:r>
      <w:r w:rsidR="009F1307">
        <w:t>be capable of reporting hourly, daily, monthly, and annual energy use</w:t>
      </w:r>
      <w:r>
        <w:t>.</w:t>
      </w:r>
      <w:r w:rsidR="009F1307">
        <w:t xml:space="preserve"> </w:t>
      </w:r>
    </w:p>
    <w:p w:rsidR="00A11954" w:rsidRDefault="00A11954" w:rsidP="00A11954">
      <w:pPr>
        <w:pStyle w:val="BodyText"/>
        <w:numPr>
          <w:ilvl w:val="2"/>
          <w:numId w:val="41"/>
        </w:numPr>
        <w:spacing w:after="0"/>
      </w:pPr>
      <w:r>
        <w:t>Electricity meters must record both consumption and demand. Whole-building electricity meters should record the power factor, if appropriate.</w:t>
      </w:r>
    </w:p>
    <w:p w:rsidR="00A11954" w:rsidRDefault="00A11954" w:rsidP="00A11954">
      <w:pPr>
        <w:pStyle w:val="BodyText"/>
        <w:numPr>
          <w:ilvl w:val="2"/>
          <w:numId w:val="41"/>
        </w:numPr>
        <w:spacing w:after="0"/>
      </w:pPr>
      <w:r>
        <w:t>The data collection system must use a local area network, building automation system, wireless network, or comparable communication infrastructure.</w:t>
      </w:r>
    </w:p>
    <w:p w:rsidR="00A11954" w:rsidRDefault="00A11954" w:rsidP="00A11954">
      <w:pPr>
        <w:pStyle w:val="BodyText"/>
        <w:numPr>
          <w:ilvl w:val="2"/>
          <w:numId w:val="41"/>
        </w:numPr>
        <w:spacing w:after="0"/>
      </w:pPr>
      <w:r>
        <w:t>The system must be capable of storing all me</w:t>
      </w:r>
      <w:r w:rsidR="00905CB8">
        <w:t xml:space="preserve">ter data for at least 36 months and be </w:t>
      </w:r>
      <w:r>
        <w:t>remotely accessible.</w:t>
      </w:r>
    </w:p>
    <w:p w:rsidR="008A43C1" w:rsidRDefault="008A43C1" w:rsidP="008A43C1">
      <w:pPr>
        <w:pStyle w:val="BodyText"/>
        <w:numPr>
          <w:ilvl w:val="0"/>
          <w:numId w:val="41"/>
        </w:numPr>
        <w:spacing w:after="0"/>
      </w:pPr>
      <w:r>
        <w:t xml:space="preserve">BD+C EAc4 (2 points): Demand Response. </w:t>
      </w:r>
    </w:p>
    <w:p w:rsidR="00A11954" w:rsidRDefault="00A11954" w:rsidP="008A43C1">
      <w:pPr>
        <w:pStyle w:val="BodyText"/>
        <w:numPr>
          <w:ilvl w:val="1"/>
          <w:numId w:val="41"/>
        </w:numPr>
        <w:spacing w:after="0"/>
      </w:pPr>
      <w:r>
        <w:t xml:space="preserve">Case 1 (2 points). </w:t>
      </w:r>
      <w:r w:rsidRPr="00A11954">
        <w:t>Participate in an existing</w:t>
      </w:r>
      <w:r w:rsidRPr="00A11954">
        <w:t> demand response (DR) </w:t>
      </w:r>
      <w:r w:rsidRPr="00A11954">
        <w:t>program</w:t>
      </w:r>
    </w:p>
    <w:p w:rsidR="008A43C1" w:rsidRPr="004E3535" w:rsidRDefault="008A43C1" w:rsidP="008A43C1">
      <w:pPr>
        <w:pStyle w:val="BodyText"/>
        <w:numPr>
          <w:ilvl w:val="1"/>
          <w:numId w:val="41"/>
        </w:numPr>
        <w:spacing w:after="0"/>
      </w:pPr>
      <w:r>
        <w:t>Case 2</w:t>
      </w:r>
      <w:r w:rsidR="00A11954">
        <w:t xml:space="preserve"> (1 point)</w:t>
      </w:r>
      <w:r>
        <w:t xml:space="preserve">. Provide infrastructure to take advantage of future demand response programs or dynamic, real-time pricing programs and complete the following activities. Including: </w:t>
      </w:r>
      <w:r w:rsidRPr="00537394">
        <w:rPr>
          <w:b/>
        </w:rPr>
        <w:t>Install interval recording meters with communications and ability for the building automation system to accept an external price or control signal.</w:t>
      </w:r>
    </w:p>
    <w:p w:rsidR="00537394" w:rsidRDefault="00537394" w:rsidP="00537394">
      <w:pPr>
        <w:pStyle w:val="Heading2"/>
        <w:rPr>
          <w:i w:val="0"/>
        </w:rPr>
      </w:pPr>
      <w:r>
        <w:rPr>
          <w:i w:val="0"/>
        </w:rPr>
        <w:lastRenderedPageBreak/>
        <w:t>Operation and Maintenance</w:t>
      </w:r>
      <w:r w:rsidR="002A3B06">
        <w:rPr>
          <w:i w:val="0"/>
        </w:rPr>
        <w:t>: Existing Buildings</w:t>
      </w:r>
    </w:p>
    <w:p w:rsidR="00537394" w:rsidRPr="008A6695" w:rsidRDefault="00537394" w:rsidP="00537394">
      <w:pPr>
        <w:pStyle w:val="Heading3"/>
        <w:rPr>
          <w:i w:val="0"/>
        </w:rPr>
      </w:pPr>
      <w:r>
        <w:rPr>
          <w:i w:val="0"/>
        </w:rPr>
        <w:t>LEED v3 2009</w:t>
      </w:r>
    </w:p>
    <w:p w:rsidR="00F55F9F" w:rsidRDefault="006100D7" w:rsidP="00F55F9F">
      <w:pPr>
        <w:pStyle w:val="BodyText"/>
        <w:numPr>
          <w:ilvl w:val="0"/>
          <w:numId w:val="41"/>
        </w:numPr>
        <w:spacing w:after="0"/>
      </w:pPr>
      <w:r>
        <w:t>O+M</w:t>
      </w:r>
      <w:r w:rsidR="00F55F9F">
        <w:t xml:space="preserve"> EA</w:t>
      </w:r>
      <w:r w:rsidR="00D325D3">
        <w:t>p2</w:t>
      </w:r>
      <w:r w:rsidR="00F55F9F">
        <w:t xml:space="preserve">: </w:t>
      </w:r>
      <w:r w:rsidR="00D325D3">
        <w:t>Minimum Energy Efficiency Performance</w:t>
      </w:r>
      <w:r w:rsidR="00F55F9F">
        <w:t xml:space="preserve">. </w:t>
      </w:r>
    </w:p>
    <w:p w:rsidR="003862A3" w:rsidRDefault="003862A3" w:rsidP="003862A3">
      <w:pPr>
        <w:pStyle w:val="BodyText"/>
        <w:numPr>
          <w:ilvl w:val="1"/>
          <w:numId w:val="41"/>
        </w:numPr>
        <w:spacing w:after="0"/>
      </w:pPr>
      <w:r>
        <w:t xml:space="preserve">Credit associated with having a minimum Energy Star (or related system) score. </w:t>
      </w:r>
    </w:p>
    <w:p w:rsidR="00F55F9F" w:rsidRDefault="003862A3" w:rsidP="003862A3">
      <w:pPr>
        <w:pStyle w:val="BodyText"/>
        <w:numPr>
          <w:ilvl w:val="1"/>
          <w:numId w:val="41"/>
        </w:numPr>
        <w:spacing w:after="0"/>
      </w:pPr>
      <w:r>
        <w:t>Credit requires property to h</w:t>
      </w:r>
      <w:r w:rsidR="00D325D3" w:rsidRPr="00D325D3">
        <w:t xml:space="preserve">ave </w:t>
      </w:r>
      <w:r w:rsidR="00D325D3" w:rsidRPr="003862A3">
        <w:rPr>
          <w:b/>
        </w:rPr>
        <w:t>energy meters</w:t>
      </w:r>
      <w:r w:rsidR="00D325D3" w:rsidRPr="00D325D3">
        <w:t xml:space="preserve"> that measure all energy use throughout the performance period of all buildings to be certified.</w:t>
      </w:r>
      <w:r w:rsidR="00F55F9F">
        <w:t xml:space="preserve"> </w:t>
      </w:r>
      <w:r>
        <w:t>A full 12 months of continuous measured energy data is required.</w:t>
      </w:r>
      <w:r>
        <w:t xml:space="preserve"> </w:t>
      </w:r>
      <w:r>
        <w:t>Calibrate meters within the manufacturer’s recommended interval if the building owner, management organization or tenant owns the meter. Meters owned by third parties (e.g., utilities or governments) are exempt.</w:t>
      </w:r>
    </w:p>
    <w:p w:rsidR="00D325D3" w:rsidRDefault="00D325D3" w:rsidP="00D325D3">
      <w:pPr>
        <w:pStyle w:val="BodyText"/>
        <w:numPr>
          <w:ilvl w:val="0"/>
          <w:numId w:val="41"/>
        </w:numPr>
        <w:spacing w:after="0"/>
      </w:pPr>
      <w:r>
        <w:t xml:space="preserve">O+M EAc1 (18 points): Optimize Energy Efficiency Performance. </w:t>
      </w:r>
    </w:p>
    <w:p w:rsidR="003862A3" w:rsidRDefault="003862A3" w:rsidP="003862A3">
      <w:pPr>
        <w:pStyle w:val="BodyText"/>
        <w:numPr>
          <w:ilvl w:val="1"/>
          <w:numId w:val="41"/>
        </w:numPr>
        <w:spacing w:after="0"/>
      </w:pPr>
      <w:r>
        <w:t xml:space="preserve">Credit </w:t>
      </w:r>
      <w:r>
        <w:t xml:space="preserve">points based on actual </w:t>
      </w:r>
      <w:r>
        <w:t xml:space="preserve">Energy Star (or related system) score. </w:t>
      </w:r>
    </w:p>
    <w:p w:rsidR="003862A3" w:rsidRDefault="003862A3" w:rsidP="003862A3">
      <w:pPr>
        <w:pStyle w:val="BodyText"/>
        <w:numPr>
          <w:ilvl w:val="1"/>
          <w:numId w:val="41"/>
        </w:numPr>
        <w:spacing w:after="0"/>
      </w:pPr>
      <w:r>
        <w:t>Credit requires property to h</w:t>
      </w:r>
      <w:r w:rsidRPr="00D325D3">
        <w:t xml:space="preserve">ave </w:t>
      </w:r>
      <w:r w:rsidRPr="003862A3">
        <w:rPr>
          <w:b/>
        </w:rPr>
        <w:t>energy meters</w:t>
      </w:r>
      <w:r w:rsidRPr="00D325D3">
        <w:t xml:space="preserve"> that measure all energy use throughout the performance period of all buildings to be certified.</w:t>
      </w:r>
      <w:r>
        <w:t xml:space="preserve"> A full 12 months of continuous measured energy data is required. Calibrate meters within the manufacturer’s recommended interval if the building owner, management organization or tenant owns the meter. Meters owned by third parties (e.g., utilities or governments) are exempt.</w:t>
      </w:r>
    </w:p>
    <w:p w:rsidR="00D325D3" w:rsidRDefault="00D325D3" w:rsidP="00C02FA8">
      <w:pPr>
        <w:pStyle w:val="BodyText"/>
        <w:keepNext/>
        <w:numPr>
          <w:ilvl w:val="0"/>
          <w:numId w:val="41"/>
        </w:numPr>
        <w:spacing w:after="0"/>
      </w:pPr>
      <w:r>
        <w:t xml:space="preserve">O+M EAc2.1 (2 points): Building Commissioning – Investigation and Analysis. </w:t>
      </w:r>
    </w:p>
    <w:p w:rsidR="00D325D3" w:rsidRDefault="003862A3" w:rsidP="00D325D3">
      <w:pPr>
        <w:pStyle w:val="BodyText"/>
        <w:numPr>
          <w:ilvl w:val="1"/>
          <w:numId w:val="41"/>
        </w:numPr>
        <w:spacing w:after="0"/>
      </w:pPr>
      <w:r>
        <w:t xml:space="preserve">One of the several </w:t>
      </w:r>
      <w:proofErr w:type="spellStart"/>
      <w:r>
        <w:t>Cx</w:t>
      </w:r>
      <w:proofErr w:type="spellEnd"/>
      <w:r>
        <w:t xml:space="preserve"> components includes: </w:t>
      </w:r>
      <w:r w:rsidR="00D325D3" w:rsidRPr="00D325D3">
        <w:t>Document the breakdown of energy use in the building</w:t>
      </w:r>
      <w:r w:rsidR="00D325D3">
        <w:t xml:space="preserve">.  </w:t>
      </w:r>
      <w:r w:rsidRPr="003862A3">
        <w:rPr>
          <w:i/>
        </w:rPr>
        <w:t>Typically this can be done in a spreadsheet so is a bit of a stretch</w:t>
      </w:r>
      <w:r>
        <w:t xml:space="preserve"> </w:t>
      </w:r>
      <w:r w:rsidRPr="005066CA">
        <w:rPr>
          <w:i/>
        </w:rPr>
        <w:t xml:space="preserve">to connect to </w:t>
      </w:r>
      <w:proofErr w:type="spellStart"/>
      <w:r w:rsidRPr="005066CA">
        <w:rPr>
          <w:i/>
        </w:rPr>
        <w:t>eGauge</w:t>
      </w:r>
      <w:proofErr w:type="spellEnd"/>
      <w:r>
        <w:rPr>
          <w:i/>
        </w:rPr>
        <w:t xml:space="preserve">. </w:t>
      </w:r>
    </w:p>
    <w:p w:rsidR="00D325D3" w:rsidRDefault="004C418C" w:rsidP="00D325D3">
      <w:pPr>
        <w:pStyle w:val="BodyText"/>
        <w:numPr>
          <w:ilvl w:val="0"/>
          <w:numId w:val="41"/>
        </w:numPr>
        <w:spacing w:after="0"/>
      </w:pPr>
      <w:r>
        <w:t>O+M EAc2.3</w:t>
      </w:r>
      <w:r w:rsidR="00D325D3">
        <w:t xml:space="preserve"> (2 points): Building Commissioning – Ongoing Commissioning. </w:t>
      </w:r>
    </w:p>
    <w:p w:rsidR="00D325D3" w:rsidRDefault="00D325D3" w:rsidP="00D325D3">
      <w:pPr>
        <w:pStyle w:val="BodyText"/>
        <w:numPr>
          <w:ilvl w:val="1"/>
          <w:numId w:val="41"/>
        </w:numPr>
        <w:spacing w:after="0"/>
      </w:pPr>
      <w:r w:rsidRPr="00D325D3">
        <w:t>Implement an ongoing commissioning program that includes elements of planning, system testing, performance verification, corrective action response, ongoing measurement and documentation to proactively address operating problems.</w:t>
      </w:r>
      <w:r>
        <w:t xml:space="preserve"> </w:t>
      </w:r>
      <w:r w:rsidR="003862A3" w:rsidRPr="003862A3">
        <w:rPr>
          <w:i/>
        </w:rPr>
        <w:t xml:space="preserve">This is a bit of a stretch to connect to </w:t>
      </w:r>
      <w:proofErr w:type="spellStart"/>
      <w:r w:rsidR="003862A3" w:rsidRPr="003862A3">
        <w:rPr>
          <w:i/>
        </w:rPr>
        <w:t>eGauge</w:t>
      </w:r>
      <w:proofErr w:type="spellEnd"/>
      <w:r w:rsidR="003862A3" w:rsidRPr="003862A3">
        <w:rPr>
          <w:i/>
        </w:rPr>
        <w:t xml:space="preserve"> as this is a plan related to reviewing operational data and addressing preventative maintenance practices</w:t>
      </w:r>
      <w:r w:rsidR="003862A3">
        <w:t>.</w:t>
      </w:r>
    </w:p>
    <w:p w:rsidR="00D325D3" w:rsidRPr="003862A3" w:rsidRDefault="00D325D3" w:rsidP="00D325D3">
      <w:pPr>
        <w:pStyle w:val="BodyText"/>
        <w:numPr>
          <w:ilvl w:val="0"/>
          <w:numId w:val="41"/>
        </w:numPr>
        <w:spacing w:after="0"/>
        <w:rPr>
          <w:b/>
        </w:rPr>
      </w:pPr>
      <w:r w:rsidRPr="003862A3">
        <w:rPr>
          <w:b/>
        </w:rPr>
        <w:t xml:space="preserve">O+M EAc3.2 (2 points): Performance Measurement – System-Level Metering </w:t>
      </w:r>
    </w:p>
    <w:p w:rsidR="00D325D3" w:rsidRDefault="00D325D3" w:rsidP="00D325D3">
      <w:pPr>
        <w:pStyle w:val="BodyText"/>
        <w:numPr>
          <w:ilvl w:val="1"/>
          <w:numId w:val="41"/>
        </w:numPr>
        <w:spacing w:after="0"/>
      </w:pPr>
      <w:r w:rsidRPr="00D325D3">
        <w:t xml:space="preserve">Develop a breakdown of energy use in the building, either through EA Credits 2.1 and 2.2 or </w:t>
      </w:r>
      <w:proofErr w:type="gramStart"/>
      <w:r w:rsidRPr="00D325D3">
        <w:t>by</w:t>
      </w:r>
      <w:proofErr w:type="gramEnd"/>
      <w:r w:rsidRPr="00D325D3">
        <w:t xml:space="preserve"> using energy bills, spot metering or other metering to determine the energy consumption of major mechanical systems and other end-use applications.</w:t>
      </w:r>
    </w:p>
    <w:p w:rsidR="00D325D3" w:rsidRDefault="00D325D3" w:rsidP="00D325D3">
      <w:pPr>
        <w:pStyle w:val="BodyText"/>
        <w:numPr>
          <w:ilvl w:val="1"/>
          <w:numId w:val="41"/>
        </w:numPr>
        <w:spacing w:after="0"/>
      </w:pPr>
      <w:r w:rsidRPr="00D325D3">
        <w:t xml:space="preserve">Based on the energy-use breakdown, </w:t>
      </w:r>
      <w:r w:rsidRPr="00A82FED">
        <w:rPr>
          <w:b/>
        </w:rPr>
        <w:t>employ system-level metering</w:t>
      </w:r>
      <w:r w:rsidRPr="00D325D3">
        <w:t xml:space="preserve"> covering at least 40% or 80% of the total expected annual energy consumption of the building. Permanent metering and recording are required. All types of </w:t>
      </w:r>
      <w:proofErr w:type="spellStart"/>
      <w:r w:rsidRPr="00D325D3">
        <w:t>submetering</w:t>
      </w:r>
      <w:proofErr w:type="spellEnd"/>
      <w:r w:rsidRPr="00D325D3">
        <w:t xml:space="preserve"> are permitted.</w:t>
      </w:r>
    </w:p>
    <w:p w:rsidR="009F1307" w:rsidRDefault="009F1307" w:rsidP="009F1307">
      <w:pPr>
        <w:pStyle w:val="BodyText"/>
        <w:numPr>
          <w:ilvl w:val="0"/>
          <w:numId w:val="41"/>
        </w:numPr>
        <w:spacing w:after="0"/>
      </w:pPr>
      <w:r>
        <w:t>O+M EAc</w:t>
      </w:r>
      <w:r w:rsidR="00825642">
        <w:t>4</w:t>
      </w:r>
      <w:r>
        <w:t xml:space="preserve"> (</w:t>
      </w:r>
      <w:r w:rsidR="00825642">
        <w:t>6</w:t>
      </w:r>
      <w:r>
        <w:t xml:space="preserve"> points): Renewable Energy and Carbon Offsets. </w:t>
      </w:r>
    </w:p>
    <w:p w:rsidR="009F1307" w:rsidRDefault="00825642" w:rsidP="00825642">
      <w:pPr>
        <w:pStyle w:val="BodyText"/>
        <w:numPr>
          <w:ilvl w:val="1"/>
          <w:numId w:val="41"/>
        </w:numPr>
        <w:spacing w:after="0"/>
      </w:pPr>
      <w:r w:rsidRPr="00825642">
        <w:t>During the performance period, meet some or all of the building’s total energy use with on-site or off-site renewable energy systems. Points are earned according to the following table, which shows the percentages of building energy use met by renewable energy during the performance period</w:t>
      </w:r>
      <w:r w:rsidR="009F1307" w:rsidRPr="009F1307">
        <w:t>.</w:t>
      </w:r>
      <w:r w:rsidR="009F1307">
        <w:t xml:space="preserve"> </w:t>
      </w:r>
      <w:r w:rsidRPr="00825642">
        <w:t>Green power may</w:t>
      </w:r>
      <w:r w:rsidRPr="00825642">
        <w:t xml:space="preserve"> also</w:t>
      </w:r>
      <w:r w:rsidRPr="00825642">
        <w:t xml:space="preserve"> be procured</w:t>
      </w:r>
      <w:r w:rsidRPr="00825642">
        <w:t>.</w:t>
      </w:r>
      <w:r>
        <w:rPr>
          <w:rStyle w:val="apple-converted-space"/>
          <w:rFonts w:ascii="Arial" w:hAnsi="Arial" w:cs="Arial"/>
          <w:color w:val="333333"/>
          <w:sz w:val="23"/>
          <w:szCs w:val="23"/>
          <w:shd w:val="clear" w:color="auto" w:fill="FFFFFF"/>
        </w:rPr>
        <w:t> </w:t>
      </w:r>
    </w:p>
    <w:p w:rsidR="009F1307" w:rsidRPr="009F1307" w:rsidRDefault="009F1307" w:rsidP="009F1307">
      <w:pPr>
        <w:pStyle w:val="BodyText"/>
        <w:numPr>
          <w:ilvl w:val="1"/>
          <w:numId w:val="41"/>
        </w:numPr>
        <w:spacing w:after="0"/>
        <w:rPr>
          <w:i/>
        </w:rPr>
      </w:pPr>
      <w:r w:rsidRPr="009F1307">
        <w:rPr>
          <w:i/>
        </w:rPr>
        <w:lastRenderedPageBreak/>
        <w:t xml:space="preserve">If onsite renewable energy systems are used as the basis for this credit, a meter may be needed to achieve those points as you typically need to show data from the performance period in order to quantify achievement. </w:t>
      </w:r>
    </w:p>
    <w:p w:rsidR="00537394" w:rsidRPr="008A6695" w:rsidRDefault="00537394" w:rsidP="00537394">
      <w:pPr>
        <w:pStyle w:val="Heading3"/>
        <w:rPr>
          <w:i w:val="0"/>
        </w:rPr>
      </w:pPr>
      <w:r>
        <w:rPr>
          <w:i w:val="0"/>
        </w:rPr>
        <w:t>LEED v4</w:t>
      </w:r>
    </w:p>
    <w:p w:rsidR="00A82FED" w:rsidRDefault="00A82FED" w:rsidP="00A82FED">
      <w:pPr>
        <w:pStyle w:val="BodyText"/>
        <w:numPr>
          <w:ilvl w:val="0"/>
          <w:numId w:val="41"/>
        </w:numPr>
        <w:spacing w:after="0"/>
      </w:pPr>
      <w:r>
        <w:t xml:space="preserve">O+M EAp2: Minimum Energy Efficiency Performance. </w:t>
      </w:r>
    </w:p>
    <w:p w:rsidR="00A82FED" w:rsidRDefault="00A82FED" w:rsidP="00A82FED">
      <w:pPr>
        <w:pStyle w:val="BodyText"/>
        <w:numPr>
          <w:ilvl w:val="1"/>
          <w:numId w:val="41"/>
        </w:numPr>
        <w:spacing w:after="0"/>
      </w:pPr>
      <w:r w:rsidRPr="00A82FED">
        <w:rPr>
          <w:b/>
        </w:rPr>
        <w:t>Meter the building’s energy use</w:t>
      </w:r>
      <w:r w:rsidRPr="00A82FED">
        <w:t xml:space="preserve"> for a full 12 months of continuous operation and achieve the levels of efficiency set forth in the options below. Each building’s energy performance must be based on actual metered energy consumption for both the LEED project building(s) and all comparable buildings used for the benchmark.</w:t>
      </w:r>
      <w:r>
        <w:t xml:space="preserve">  </w:t>
      </w:r>
    </w:p>
    <w:p w:rsidR="005066CA" w:rsidRDefault="005066CA" w:rsidP="005066CA">
      <w:pPr>
        <w:pStyle w:val="BodyText"/>
        <w:numPr>
          <w:ilvl w:val="1"/>
          <w:numId w:val="41"/>
        </w:numPr>
        <w:spacing w:after="0"/>
      </w:pPr>
      <w:r w:rsidRPr="005066CA">
        <w:t>Calibrate meters within the manufacturer’s recommended interval if the building owner, management organization, or tenant owns the meter. Meters owned by third parties (e.g., utilities or governments) are exempt.</w:t>
      </w:r>
    </w:p>
    <w:p w:rsidR="00A82FED" w:rsidRPr="003862A3" w:rsidRDefault="00A82FED" w:rsidP="00A82FED">
      <w:pPr>
        <w:pStyle w:val="BodyText"/>
        <w:numPr>
          <w:ilvl w:val="0"/>
          <w:numId w:val="41"/>
        </w:numPr>
        <w:spacing w:after="0"/>
        <w:rPr>
          <w:b/>
        </w:rPr>
      </w:pPr>
      <w:r w:rsidRPr="003862A3">
        <w:rPr>
          <w:b/>
        </w:rPr>
        <w:t xml:space="preserve">O+M EAp3: Building-Level Energy Metering. </w:t>
      </w:r>
    </w:p>
    <w:p w:rsidR="00A82FED" w:rsidRDefault="00A82FED" w:rsidP="005066CA">
      <w:pPr>
        <w:pStyle w:val="BodyText"/>
        <w:numPr>
          <w:ilvl w:val="1"/>
          <w:numId w:val="41"/>
        </w:numPr>
        <w:spacing w:after="0"/>
      </w:pPr>
      <w:r w:rsidRPr="00A82FED">
        <w:t xml:space="preserve">Install new or use existing </w:t>
      </w:r>
      <w:r w:rsidRPr="00A82FED">
        <w:rPr>
          <w:b/>
        </w:rPr>
        <w:t xml:space="preserve">building-level energy meters or </w:t>
      </w:r>
      <w:proofErr w:type="spellStart"/>
      <w:r w:rsidRPr="00A82FED">
        <w:rPr>
          <w:b/>
        </w:rPr>
        <w:t>submeters</w:t>
      </w:r>
      <w:proofErr w:type="spellEnd"/>
      <w:r w:rsidRPr="00A82FED">
        <w:t xml:space="preserve"> that can be aggregated to provide building-level data representing total building energy consumption (electricity, natural gas, chilled water, steam, fuel oil, propane, </w:t>
      </w:r>
      <w:proofErr w:type="spellStart"/>
      <w:r w:rsidRPr="00A82FED">
        <w:t>etc</w:t>
      </w:r>
      <w:proofErr w:type="spellEnd"/>
      <w:r w:rsidRPr="00A82FED">
        <w:t xml:space="preserve">). </w:t>
      </w:r>
      <w:r w:rsidR="005066CA" w:rsidRPr="005066CA">
        <w:rPr>
          <w:u w:val="single"/>
        </w:rPr>
        <w:t>Utility-owned meters capable of aggregating building-level resource use are acceptable</w:t>
      </w:r>
      <w:r w:rsidR="005066CA" w:rsidRPr="005066CA">
        <w:t>.</w:t>
      </w:r>
    </w:p>
    <w:p w:rsidR="005066CA" w:rsidRPr="00A82FED" w:rsidRDefault="005066CA" w:rsidP="005066CA">
      <w:pPr>
        <w:pStyle w:val="BodyText"/>
        <w:numPr>
          <w:ilvl w:val="1"/>
          <w:numId w:val="41"/>
        </w:numPr>
        <w:spacing w:after="0"/>
      </w:pPr>
      <w:r>
        <w:t>Compile meter data into monthly and annual summaries; meter readings can be manual or automated.</w:t>
      </w:r>
      <w:r>
        <w:t xml:space="preserve"> </w:t>
      </w:r>
      <w:r>
        <w:t>Commit to sharing with USGBC the resulting energy consumption data and electrical demand data (if metered) for a five-year period. At a minimum, energy consumption must be tracked at one-month intervals.</w:t>
      </w:r>
    </w:p>
    <w:p w:rsidR="00A82FED" w:rsidRDefault="00A82FED" w:rsidP="00A82FED">
      <w:pPr>
        <w:pStyle w:val="BodyText"/>
        <w:numPr>
          <w:ilvl w:val="0"/>
          <w:numId w:val="41"/>
        </w:numPr>
        <w:spacing w:after="0"/>
      </w:pPr>
      <w:r>
        <w:t xml:space="preserve">O+M EAc2 (3 points): Ongoing Commissioning. </w:t>
      </w:r>
    </w:p>
    <w:p w:rsidR="005066CA" w:rsidRDefault="00A82FED" w:rsidP="00A82FED">
      <w:pPr>
        <w:pStyle w:val="BodyText"/>
        <w:numPr>
          <w:ilvl w:val="1"/>
          <w:numId w:val="41"/>
        </w:numPr>
        <w:spacing w:after="0"/>
      </w:pPr>
      <w:r>
        <w:t>E</w:t>
      </w:r>
      <w:r w:rsidRPr="00A82FED">
        <w:t>stablish an ongoing commissioning process that includes planning, point monitoring, system testing, performance verification, corrective action response, ongoing measurement, and documentation to proactively address operating problems in the systems being commissioned</w:t>
      </w:r>
      <w:r>
        <w:t xml:space="preserve">.  </w:t>
      </w:r>
      <w:r w:rsidR="005066CA" w:rsidRPr="003862A3">
        <w:rPr>
          <w:i/>
        </w:rPr>
        <w:t xml:space="preserve">This is a bit of a stretch to connect to </w:t>
      </w:r>
      <w:proofErr w:type="spellStart"/>
      <w:r w:rsidR="005066CA" w:rsidRPr="003862A3">
        <w:rPr>
          <w:i/>
        </w:rPr>
        <w:t>eGauge</w:t>
      </w:r>
      <w:proofErr w:type="spellEnd"/>
      <w:r w:rsidR="005066CA" w:rsidRPr="003862A3">
        <w:rPr>
          <w:i/>
        </w:rPr>
        <w:t xml:space="preserve"> as this is a plan related to reviewing operational data and addressing preventative maintenance practices</w:t>
      </w:r>
      <w:r w:rsidR="005066CA">
        <w:t xml:space="preserve">. </w:t>
      </w:r>
    </w:p>
    <w:p w:rsidR="00A82FED" w:rsidRDefault="00A82FED" w:rsidP="00A82FED">
      <w:pPr>
        <w:pStyle w:val="BodyText"/>
        <w:numPr>
          <w:ilvl w:val="0"/>
          <w:numId w:val="41"/>
        </w:numPr>
        <w:spacing w:after="0"/>
      </w:pPr>
      <w:r>
        <w:t xml:space="preserve">O+M EAc3 (20 points): Optimize Energy Efficiency Performance. </w:t>
      </w:r>
    </w:p>
    <w:p w:rsidR="00A82FED" w:rsidRDefault="00A82FED" w:rsidP="00A82FED">
      <w:pPr>
        <w:pStyle w:val="BodyText"/>
        <w:numPr>
          <w:ilvl w:val="1"/>
          <w:numId w:val="41"/>
        </w:numPr>
        <w:spacing w:after="0"/>
      </w:pPr>
      <w:r w:rsidRPr="00A82FED">
        <w:t xml:space="preserve">Each building must </w:t>
      </w:r>
      <w:r w:rsidRPr="00A82FED">
        <w:rPr>
          <w:b/>
        </w:rPr>
        <w:t>provide actual metered energy data</w:t>
      </w:r>
      <w:r w:rsidRPr="00A82FED">
        <w:t>. A full 12 months of con</w:t>
      </w:r>
      <w:r>
        <w:t>tinuous energy data is required to d</w:t>
      </w:r>
      <w:r w:rsidRPr="00A82FED">
        <w:t>emonstrate increased energy efficiency or efficiency improvement beyond EA Prerequisite Minimum Energy Performance.</w:t>
      </w:r>
      <w:r>
        <w:t xml:space="preserve">  </w:t>
      </w:r>
    </w:p>
    <w:p w:rsidR="00A82FED" w:rsidRPr="003862A3" w:rsidRDefault="00A82FED" w:rsidP="00A82FED">
      <w:pPr>
        <w:pStyle w:val="BodyText"/>
        <w:numPr>
          <w:ilvl w:val="0"/>
          <w:numId w:val="41"/>
        </w:numPr>
        <w:spacing w:after="0"/>
        <w:rPr>
          <w:b/>
        </w:rPr>
      </w:pPr>
      <w:r w:rsidRPr="003862A3">
        <w:rPr>
          <w:b/>
        </w:rPr>
        <w:t xml:space="preserve">O+M EAc4 (2 points): Advanced Energy Metering </w:t>
      </w:r>
    </w:p>
    <w:p w:rsidR="00A82FED" w:rsidRDefault="00A82FED" w:rsidP="00A82FED">
      <w:pPr>
        <w:pStyle w:val="BodyText"/>
        <w:numPr>
          <w:ilvl w:val="1"/>
          <w:numId w:val="41"/>
        </w:numPr>
        <w:spacing w:after="0"/>
      </w:pPr>
      <w:r>
        <w:t xml:space="preserve">Install </w:t>
      </w:r>
      <w:r w:rsidRPr="00A82FED">
        <w:rPr>
          <w:b/>
        </w:rPr>
        <w:t>advanced energy metering</w:t>
      </w:r>
      <w:r>
        <w:t xml:space="preserve"> for the following: all whole-building energy sources used by the building; and major end uses that represent 20% or more of the total annual consumption of the building minus plug load use</w:t>
      </w:r>
      <w:r w:rsidRPr="00D325D3">
        <w:t>.</w:t>
      </w:r>
    </w:p>
    <w:p w:rsidR="005066CA" w:rsidRDefault="005066CA" w:rsidP="00534A5B">
      <w:pPr>
        <w:pStyle w:val="BodyText"/>
        <w:numPr>
          <w:ilvl w:val="1"/>
          <w:numId w:val="41"/>
        </w:numPr>
        <w:spacing w:after="0"/>
      </w:pPr>
      <w:r>
        <w:t>The advanced energy metering must have the following characteristics.</w:t>
      </w:r>
    </w:p>
    <w:p w:rsidR="005066CA" w:rsidRDefault="005066CA" w:rsidP="00534A5B">
      <w:pPr>
        <w:pStyle w:val="BodyText"/>
        <w:numPr>
          <w:ilvl w:val="2"/>
          <w:numId w:val="41"/>
        </w:numPr>
        <w:spacing w:after="0"/>
      </w:pPr>
      <w:r>
        <w:t>Meters must be permanently installed, record at intervals of one hour or less, and transmit data to a remote location.</w:t>
      </w:r>
    </w:p>
    <w:p w:rsidR="005066CA" w:rsidRDefault="005066CA" w:rsidP="00534A5B">
      <w:pPr>
        <w:pStyle w:val="BodyText"/>
        <w:numPr>
          <w:ilvl w:val="2"/>
          <w:numId w:val="41"/>
        </w:numPr>
        <w:spacing w:after="0"/>
      </w:pPr>
      <w:r>
        <w:t>Electricity meters must record both consumption and demand. Whole-building electricity meters should record the power factor, if appropriate.</w:t>
      </w:r>
    </w:p>
    <w:p w:rsidR="005066CA" w:rsidRDefault="005066CA" w:rsidP="00534A5B">
      <w:pPr>
        <w:pStyle w:val="BodyText"/>
        <w:numPr>
          <w:ilvl w:val="2"/>
          <w:numId w:val="41"/>
        </w:numPr>
        <w:spacing w:after="0"/>
      </w:pPr>
      <w:r>
        <w:lastRenderedPageBreak/>
        <w:t>The data collection system must use a local area network, building automation system, wireless network, or comparable communication infrastructure.</w:t>
      </w:r>
    </w:p>
    <w:p w:rsidR="005066CA" w:rsidRDefault="005066CA" w:rsidP="00534A5B">
      <w:pPr>
        <w:pStyle w:val="BodyText"/>
        <w:numPr>
          <w:ilvl w:val="2"/>
          <w:numId w:val="41"/>
        </w:numPr>
        <w:spacing w:after="0"/>
      </w:pPr>
      <w:r>
        <w:t>The system must be capable of storing all meter data for at least 36 months.</w:t>
      </w:r>
    </w:p>
    <w:p w:rsidR="005066CA" w:rsidRDefault="005066CA" w:rsidP="00534A5B">
      <w:pPr>
        <w:pStyle w:val="BodyText"/>
        <w:numPr>
          <w:ilvl w:val="2"/>
          <w:numId w:val="41"/>
        </w:numPr>
        <w:spacing w:after="0"/>
      </w:pPr>
      <w:r>
        <w:t>The data must be remotely accessible.</w:t>
      </w:r>
    </w:p>
    <w:p w:rsidR="005066CA" w:rsidRDefault="005066CA" w:rsidP="00534A5B">
      <w:pPr>
        <w:pStyle w:val="BodyText"/>
        <w:numPr>
          <w:ilvl w:val="2"/>
          <w:numId w:val="41"/>
        </w:numPr>
        <w:spacing w:after="0"/>
      </w:pPr>
      <w:r>
        <w:t>All meters in the system must be capable of reporting hourly, daily, monthly, and annual energy use.</w:t>
      </w:r>
    </w:p>
    <w:p w:rsidR="005066CA" w:rsidRDefault="005066CA" w:rsidP="00534A5B">
      <w:pPr>
        <w:pStyle w:val="BodyText"/>
        <w:numPr>
          <w:ilvl w:val="1"/>
          <w:numId w:val="41"/>
        </w:numPr>
        <w:spacing w:after="0"/>
      </w:pPr>
      <w:r>
        <w:t xml:space="preserve">Other performance criteria: </w:t>
      </w:r>
    </w:p>
    <w:p w:rsidR="005066CA" w:rsidRDefault="005066CA" w:rsidP="00534A5B">
      <w:pPr>
        <w:pStyle w:val="BodyText"/>
        <w:numPr>
          <w:ilvl w:val="2"/>
          <w:numId w:val="41"/>
        </w:numPr>
        <w:spacing w:after="0"/>
      </w:pPr>
      <w:r>
        <w:t>Program the facility’s energy management system to set an alarm whenever the energy consumption and peak demand rise above the anticipated amount by more than 5%. The anticipated consumption and peak should be determined by analyzing historical facility performance and weather and operating conditions and should be set on at least monthly, preferably daily.</w:t>
      </w:r>
    </w:p>
    <w:p w:rsidR="005066CA" w:rsidRDefault="005066CA" w:rsidP="00534A5B">
      <w:pPr>
        <w:pStyle w:val="BodyText"/>
        <w:numPr>
          <w:ilvl w:val="2"/>
          <w:numId w:val="41"/>
        </w:numPr>
        <w:spacing w:after="0"/>
      </w:pPr>
      <w:r>
        <w:t>Demand measurements must be taken in time increments no longer than the increments used for utility billing or in one-hour increments, whichever is less time.</w:t>
      </w:r>
    </w:p>
    <w:p w:rsidR="005066CA" w:rsidRDefault="005066CA" w:rsidP="00534A5B">
      <w:pPr>
        <w:pStyle w:val="BodyText"/>
        <w:numPr>
          <w:ilvl w:val="2"/>
          <w:numId w:val="41"/>
        </w:numPr>
        <w:spacing w:after="0"/>
      </w:pPr>
      <w:r>
        <w:t>On at least a monthly basis, report the facility’s utility peak demand and total consumption and compare it with the data for the previous month and the same month from the previous year.</w:t>
      </w:r>
    </w:p>
    <w:p w:rsidR="00B50E9A" w:rsidRDefault="00C02FA8" w:rsidP="00B50E9A">
      <w:pPr>
        <w:pStyle w:val="BodyText"/>
        <w:numPr>
          <w:ilvl w:val="0"/>
          <w:numId w:val="41"/>
        </w:numPr>
        <w:spacing w:after="0"/>
      </w:pPr>
      <w:r>
        <w:t>O+M</w:t>
      </w:r>
      <w:r w:rsidR="00B50E9A">
        <w:t xml:space="preserve"> EAc4 (2 points): Demand Response. </w:t>
      </w:r>
    </w:p>
    <w:p w:rsidR="00B50E9A" w:rsidRPr="004E3535" w:rsidRDefault="00B50E9A" w:rsidP="00B50E9A">
      <w:pPr>
        <w:pStyle w:val="BodyText"/>
        <w:numPr>
          <w:ilvl w:val="1"/>
          <w:numId w:val="41"/>
        </w:numPr>
        <w:spacing w:after="0"/>
      </w:pPr>
      <w:r>
        <w:t xml:space="preserve">Case 2 or 3. </w:t>
      </w:r>
      <w:r w:rsidRPr="003862A3">
        <w:rPr>
          <w:b/>
        </w:rPr>
        <w:t>Provide infrastructure</w:t>
      </w:r>
      <w:r>
        <w:t xml:space="preserve"> to take advantage of future demand response programs or dynamic, real-time pricing programs and complete the following activities. </w:t>
      </w:r>
    </w:p>
    <w:p w:rsidR="009F1307" w:rsidRDefault="009F1307" w:rsidP="009F1307">
      <w:pPr>
        <w:pStyle w:val="BodyText"/>
        <w:numPr>
          <w:ilvl w:val="0"/>
          <w:numId w:val="41"/>
        </w:numPr>
        <w:spacing w:after="0"/>
      </w:pPr>
      <w:r>
        <w:t>O+M EAc</w:t>
      </w:r>
      <w:r>
        <w:t>6</w:t>
      </w:r>
      <w:r>
        <w:t xml:space="preserve"> (</w:t>
      </w:r>
      <w:r>
        <w:t>5</w:t>
      </w:r>
      <w:r>
        <w:t xml:space="preserve"> points): </w:t>
      </w:r>
      <w:r>
        <w:t>Renewable Energy and Carbon Offsets</w:t>
      </w:r>
      <w:r>
        <w:t xml:space="preserve">. </w:t>
      </w:r>
    </w:p>
    <w:p w:rsidR="009F1307" w:rsidRDefault="009F1307" w:rsidP="009F1307">
      <w:pPr>
        <w:pStyle w:val="BodyText"/>
        <w:numPr>
          <w:ilvl w:val="1"/>
          <w:numId w:val="41"/>
        </w:numPr>
        <w:spacing w:after="0"/>
      </w:pPr>
      <w:r w:rsidRPr="009F1307">
        <w:t>Meet at least some of the building’s total energy use directly with renewable energy systems, or engage in a contract to purchase green power, carbon offsets, or Renewable Energy Certificates (RECs).</w:t>
      </w:r>
      <w:r>
        <w:t xml:space="preserve"> </w:t>
      </w:r>
    </w:p>
    <w:p w:rsidR="009F1307" w:rsidRPr="009F1307" w:rsidRDefault="009F1307" w:rsidP="009F1307">
      <w:pPr>
        <w:pStyle w:val="BodyText"/>
        <w:numPr>
          <w:ilvl w:val="1"/>
          <w:numId w:val="41"/>
        </w:numPr>
        <w:spacing w:after="0"/>
        <w:rPr>
          <w:i/>
        </w:rPr>
      </w:pPr>
      <w:r w:rsidRPr="009F1307">
        <w:rPr>
          <w:i/>
        </w:rPr>
        <w:t xml:space="preserve">If onsite renewable energy systems are used as the basis for this credit, a meter may be needed to </w:t>
      </w:r>
      <w:r w:rsidRPr="009F1307">
        <w:rPr>
          <w:i/>
        </w:rPr>
        <w:t xml:space="preserve">achieve those points </w:t>
      </w:r>
      <w:r w:rsidRPr="009F1307">
        <w:rPr>
          <w:i/>
        </w:rPr>
        <w:t xml:space="preserve">as </w:t>
      </w:r>
      <w:r w:rsidRPr="009F1307">
        <w:rPr>
          <w:i/>
        </w:rPr>
        <w:t>you typically need to show data from the performance period in order to quantify achievement</w:t>
      </w:r>
      <w:r w:rsidRPr="009F1307">
        <w:rPr>
          <w:i/>
        </w:rPr>
        <w:t xml:space="preserve">. </w:t>
      </w:r>
    </w:p>
    <w:p w:rsidR="00537394" w:rsidRDefault="00537394" w:rsidP="009F1307">
      <w:pPr>
        <w:pStyle w:val="Heading2"/>
        <w:rPr>
          <w:i w:val="0"/>
        </w:rPr>
      </w:pPr>
      <w:r>
        <w:rPr>
          <w:i w:val="0"/>
        </w:rPr>
        <w:t>Commercial Interiors</w:t>
      </w:r>
    </w:p>
    <w:p w:rsidR="00537394" w:rsidRPr="008A6695" w:rsidRDefault="00537394" w:rsidP="00537394">
      <w:pPr>
        <w:pStyle w:val="Heading3"/>
        <w:rPr>
          <w:i w:val="0"/>
        </w:rPr>
      </w:pPr>
      <w:r>
        <w:rPr>
          <w:i w:val="0"/>
        </w:rPr>
        <w:t>LEED v3 2009</w:t>
      </w:r>
    </w:p>
    <w:p w:rsidR="00F55F9F" w:rsidRDefault="00971DE5" w:rsidP="00F55F9F">
      <w:pPr>
        <w:pStyle w:val="BodyText"/>
        <w:numPr>
          <w:ilvl w:val="0"/>
          <w:numId w:val="41"/>
        </w:numPr>
        <w:spacing w:after="0"/>
      </w:pPr>
      <w:r>
        <w:t>ID+C</w:t>
      </w:r>
      <w:r w:rsidR="00F55F9F">
        <w:t xml:space="preserve"> EAc</w:t>
      </w:r>
      <w:r>
        <w:t>3</w:t>
      </w:r>
      <w:r w:rsidR="00F55F9F">
        <w:t xml:space="preserve"> (</w:t>
      </w:r>
      <w:r>
        <w:t>5</w:t>
      </w:r>
      <w:r w:rsidR="00F55F9F">
        <w:t xml:space="preserve"> points): Measurement and Verification. </w:t>
      </w:r>
    </w:p>
    <w:p w:rsidR="00F55F9F" w:rsidRDefault="00C02FA8" w:rsidP="00C02FA8">
      <w:pPr>
        <w:pStyle w:val="BodyText"/>
        <w:numPr>
          <w:ilvl w:val="1"/>
          <w:numId w:val="41"/>
        </w:numPr>
        <w:spacing w:after="0"/>
      </w:pPr>
      <w:r w:rsidRPr="00C02FA8">
        <w:t>To provide for the ongoing accountability and optimization of tenant energy and water consumption performance over time</w:t>
      </w:r>
      <w:r>
        <w:t xml:space="preserve">. </w:t>
      </w:r>
      <w:r w:rsidR="00971DE5">
        <w:t xml:space="preserve">Case 1 </w:t>
      </w:r>
      <w:r w:rsidR="00971DE5" w:rsidRPr="00971DE5">
        <w:t xml:space="preserve">Install </w:t>
      </w:r>
      <w:proofErr w:type="spellStart"/>
      <w:r w:rsidR="00971DE5" w:rsidRPr="00971DE5">
        <w:rPr>
          <w:b/>
        </w:rPr>
        <w:t>submetering</w:t>
      </w:r>
      <w:proofErr w:type="spellEnd"/>
      <w:r w:rsidR="00971DE5" w:rsidRPr="00971DE5">
        <w:rPr>
          <w:b/>
        </w:rPr>
        <w:t xml:space="preserve"> equipment</w:t>
      </w:r>
      <w:r w:rsidR="00971DE5" w:rsidRPr="00971DE5">
        <w:t xml:space="preserve"> to measure and record energy use within the tenant space</w:t>
      </w:r>
      <w:r>
        <w:t xml:space="preserve"> (2 points)</w:t>
      </w:r>
      <w:r w:rsidR="00F55F9F">
        <w:t xml:space="preserve">. </w:t>
      </w:r>
      <w:r w:rsidRPr="00C02FA8">
        <w:t>Negotiate a lease whereby energy costs are paid by the tenant and not included in the base rent. (3 points)</w:t>
      </w:r>
      <w:r>
        <w:t xml:space="preserve">. Case 2 involves developing </w:t>
      </w:r>
      <w:proofErr w:type="gramStart"/>
      <w:r>
        <w:t>a</w:t>
      </w:r>
      <w:proofErr w:type="gramEnd"/>
      <w:r>
        <w:t xml:space="preserve"> M&amp;V plan. </w:t>
      </w:r>
      <w:r w:rsidR="00F55F9F">
        <w:t xml:space="preserve"> </w:t>
      </w:r>
    </w:p>
    <w:p w:rsidR="00537394" w:rsidRPr="008A6695" w:rsidRDefault="00537394" w:rsidP="009F1307">
      <w:pPr>
        <w:pStyle w:val="Heading3"/>
        <w:spacing w:before="0"/>
        <w:rPr>
          <w:i w:val="0"/>
        </w:rPr>
      </w:pPr>
      <w:r>
        <w:rPr>
          <w:i w:val="0"/>
        </w:rPr>
        <w:t>LEED v4</w:t>
      </w:r>
    </w:p>
    <w:p w:rsidR="00971DE5" w:rsidRPr="00C02FA8" w:rsidRDefault="00971DE5" w:rsidP="00971DE5">
      <w:pPr>
        <w:pStyle w:val="BodyText"/>
        <w:numPr>
          <w:ilvl w:val="0"/>
          <w:numId w:val="41"/>
        </w:numPr>
        <w:spacing w:after="0"/>
        <w:rPr>
          <w:b/>
        </w:rPr>
      </w:pPr>
      <w:r w:rsidRPr="00C02FA8">
        <w:rPr>
          <w:b/>
        </w:rPr>
        <w:t xml:space="preserve">ID+C EAc3 (2 point): Advanced Energy Metering. </w:t>
      </w:r>
    </w:p>
    <w:p w:rsidR="00C02FA8" w:rsidRDefault="00C02FA8" w:rsidP="00C02FA8">
      <w:pPr>
        <w:pStyle w:val="BodyText"/>
        <w:numPr>
          <w:ilvl w:val="1"/>
          <w:numId w:val="41"/>
        </w:numPr>
        <w:spacing w:after="0"/>
      </w:pPr>
      <w:r>
        <w:t xml:space="preserve">Metering (1 point) </w:t>
      </w:r>
      <w:r w:rsidR="00971DE5" w:rsidRPr="00971DE5">
        <w:t xml:space="preserve">Install new or use existing </w:t>
      </w:r>
      <w:r w:rsidR="00971DE5" w:rsidRPr="00C02FA8">
        <w:rPr>
          <w:b/>
        </w:rPr>
        <w:t>tenant-level energy meters</w:t>
      </w:r>
      <w:r w:rsidR="00971DE5" w:rsidRPr="00971DE5">
        <w:t xml:space="preserve"> to provide tenant-level data representing total tenant energy consumption (electricity, natural gas, chilled </w:t>
      </w:r>
      <w:r w:rsidR="00971DE5" w:rsidRPr="00971DE5">
        <w:lastRenderedPageBreak/>
        <w:t>water, steam, fuel oil, propane,</w:t>
      </w:r>
      <w:r w:rsidR="004C418C">
        <w:t xml:space="preserve"> </w:t>
      </w:r>
      <w:r w:rsidR="00971DE5" w:rsidRPr="00971DE5">
        <w:t>biomass, etc.).</w:t>
      </w:r>
      <w:r w:rsidR="00971DE5">
        <w:t xml:space="preserve">  </w:t>
      </w:r>
      <w:r w:rsidRPr="00C02FA8">
        <w:rPr>
          <w:u w:val="single"/>
        </w:rPr>
        <w:t>Utility-owned meters capable of aggregating building-level resource use are acceptable</w:t>
      </w:r>
      <w:r w:rsidRPr="00A11954">
        <w:t>.</w:t>
      </w:r>
      <w:r>
        <w:t xml:space="preserve"> </w:t>
      </w:r>
      <w:r w:rsidRPr="00A11954">
        <w:t>Commit to sharing with USGBC the resulting energy consumption data and electrical demand data (if metered) for a five-year period. At a minimum, energy consumption must be tracked at one-month intervals.</w:t>
      </w:r>
    </w:p>
    <w:p w:rsidR="00971DE5" w:rsidRPr="00971DE5" w:rsidRDefault="00C02FA8" w:rsidP="00971DE5">
      <w:pPr>
        <w:pStyle w:val="BodyText"/>
        <w:numPr>
          <w:ilvl w:val="1"/>
          <w:numId w:val="41"/>
        </w:numPr>
        <w:spacing w:after="0"/>
      </w:pPr>
      <w:r>
        <w:t xml:space="preserve">Advanced Metering (2 points) </w:t>
      </w:r>
      <w:r w:rsidR="00971DE5">
        <w:t>Install i</w:t>
      </w:r>
      <w:r w:rsidR="00971DE5" w:rsidRPr="00971DE5">
        <w:t xml:space="preserve">ndividual energy </w:t>
      </w:r>
      <w:r w:rsidR="006B1D66">
        <w:t xml:space="preserve">meters for energy </w:t>
      </w:r>
      <w:r w:rsidR="00971DE5" w:rsidRPr="00971DE5">
        <w:t>end uses that represent 10% or more of the total annual consumption of the tenant space.</w:t>
      </w:r>
      <w:r>
        <w:t xml:space="preserve"> </w:t>
      </w:r>
      <w:r w:rsidRPr="00C02FA8">
        <w:rPr>
          <w:i/>
        </w:rPr>
        <w:t>See credit more additional requirements (similar to other advanced metering credits</w:t>
      </w:r>
      <w:r>
        <w:t>).</w:t>
      </w:r>
    </w:p>
    <w:p w:rsidR="00F51BDC" w:rsidRDefault="00F51BDC" w:rsidP="00F51BDC">
      <w:pPr>
        <w:pStyle w:val="Heading1"/>
      </w:pPr>
      <w:r>
        <w:t>Innovation Credits</w:t>
      </w:r>
    </w:p>
    <w:p w:rsidR="00F51BDC" w:rsidRDefault="00F51BDC" w:rsidP="00F51BDC">
      <w:pPr>
        <w:pStyle w:val="BodyText"/>
      </w:pPr>
      <w:r>
        <w:t>The following lists potential credits available under the Innovation and Design process category.</w:t>
      </w:r>
      <w:r w:rsidR="002A3B06">
        <w:t xml:space="preserve"> </w:t>
      </w:r>
      <w:r w:rsidR="00C02FA8">
        <w:t xml:space="preserve"> Innovation credits previously achieved are described </w:t>
      </w:r>
      <w:r w:rsidR="002A3B06">
        <w:t xml:space="preserve">under the “Innovation Catalog” </w:t>
      </w:r>
      <w:r w:rsidR="00C02FA8">
        <w:t xml:space="preserve">section </w:t>
      </w:r>
      <w:hyperlink r:id="rId11" w:history="1">
        <w:r w:rsidR="002A3B06" w:rsidRPr="006E306F">
          <w:rPr>
            <w:rStyle w:val="Hyperlink"/>
          </w:rPr>
          <w:t>http://www.usgbc.org/credits/new-construction/v2009/innovation-catalog</w:t>
        </w:r>
      </w:hyperlink>
      <w:r w:rsidR="002A3B06">
        <w:t xml:space="preserve">.  </w:t>
      </w:r>
    </w:p>
    <w:p w:rsidR="00537394" w:rsidRDefault="001D5026" w:rsidP="001D5026">
      <w:pPr>
        <w:pStyle w:val="BodyText"/>
        <w:numPr>
          <w:ilvl w:val="0"/>
          <w:numId w:val="41"/>
        </w:numPr>
        <w:spacing w:after="0"/>
      </w:pPr>
      <w:r>
        <w:t xml:space="preserve">BD+C </w:t>
      </w:r>
      <w:r w:rsidR="008A43C1">
        <w:t>v3</w:t>
      </w:r>
      <w:r>
        <w:t xml:space="preserve">: </w:t>
      </w:r>
      <w:r w:rsidR="00537394">
        <w:t>Innovation: Demand Response</w:t>
      </w:r>
      <w:r>
        <w:t xml:space="preserve">. </w:t>
      </w:r>
    </w:p>
    <w:p w:rsidR="00B235E6" w:rsidRPr="00B235E6" w:rsidRDefault="00F51BDC" w:rsidP="00B235E6">
      <w:pPr>
        <w:pStyle w:val="BodyText"/>
        <w:numPr>
          <w:ilvl w:val="1"/>
          <w:numId w:val="41"/>
        </w:numPr>
        <w:spacing w:after="0"/>
      </w:pPr>
      <w:r>
        <w:t>Case 2. Demand response program not available (1 point)</w:t>
      </w:r>
      <w:r w:rsidR="001D5026">
        <w:t xml:space="preserve">. </w:t>
      </w:r>
      <w:r>
        <w:t>Provide infrastructure to take advantage of future demand response programs or dynamic, real-time pricing programs and complete the following activities.</w:t>
      </w:r>
      <w:r w:rsidR="001D5026">
        <w:t xml:space="preserve"> Including: </w:t>
      </w:r>
      <w:r w:rsidRPr="00537394">
        <w:rPr>
          <w:b/>
        </w:rPr>
        <w:t>Install interval recording meters with communications and ability for the building automation system to accept an external price or control signal.</w:t>
      </w:r>
      <w:r w:rsidR="008A43C1">
        <w:rPr>
          <w:b/>
        </w:rPr>
        <w:t xml:space="preserve"> </w:t>
      </w:r>
    </w:p>
    <w:p w:rsidR="00B235E6" w:rsidRDefault="00B235E6" w:rsidP="00B235E6">
      <w:pPr>
        <w:pStyle w:val="BodyText"/>
        <w:numPr>
          <w:ilvl w:val="1"/>
          <w:numId w:val="41"/>
        </w:numPr>
        <w:spacing w:after="0"/>
      </w:pPr>
      <w:r>
        <w:t>Develop a comprehensive plan for shedding at least 10% of building estimated peak electricity demand. Peak demand is determined under EA Prerequisite Minimum Energy Performance.</w:t>
      </w:r>
      <w:r>
        <w:t xml:space="preserve"> </w:t>
      </w:r>
      <w:r>
        <w:t>Include the DR processes in the scope of work for the commissioning authority, including participation in at least one full test of the DR plan.</w:t>
      </w:r>
    </w:p>
    <w:p w:rsidR="00F51BDC" w:rsidRPr="004E3535" w:rsidRDefault="008A43C1" w:rsidP="001D5026">
      <w:pPr>
        <w:pStyle w:val="BodyText"/>
        <w:numPr>
          <w:ilvl w:val="1"/>
          <w:numId w:val="41"/>
        </w:numPr>
        <w:spacing w:after="0"/>
      </w:pPr>
      <w:r w:rsidRPr="008A43C1">
        <w:rPr>
          <w:i/>
        </w:rPr>
        <w:t xml:space="preserve">Note in v4 this is </w:t>
      </w:r>
      <w:r w:rsidR="00C02FA8">
        <w:rPr>
          <w:i/>
        </w:rPr>
        <w:t xml:space="preserve">already </w:t>
      </w:r>
      <w:r w:rsidRPr="008A43C1">
        <w:rPr>
          <w:i/>
        </w:rPr>
        <w:t>an EA credit</w:t>
      </w:r>
      <w:r w:rsidRPr="008A43C1">
        <w:t xml:space="preserve">. </w:t>
      </w:r>
    </w:p>
    <w:p w:rsidR="004E3535" w:rsidRDefault="00083809" w:rsidP="004E3535">
      <w:pPr>
        <w:pStyle w:val="BodyText"/>
        <w:numPr>
          <w:ilvl w:val="0"/>
          <w:numId w:val="41"/>
        </w:numPr>
        <w:spacing w:after="0"/>
      </w:pPr>
      <w:r>
        <w:t xml:space="preserve">O+M Former </w:t>
      </w:r>
      <w:r w:rsidR="004E3535">
        <w:t>EApc59: Occupant Engagement (1 point)</w:t>
      </w:r>
    </w:p>
    <w:p w:rsidR="00B235E6" w:rsidRDefault="004E3535" w:rsidP="004E3535">
      <w:pPr>
        <w:pStyle w:val="BodyText"/>
        <w:numPr>
          <w:ilvl w:val="1"/>
          <w:numId w:val="41"/>
        </w:numPr>
        <w:spacing w:after="0"/>
      </w:pPr>
      <w:r w:rsidRPr="002A3B06">
        <w:t>To improve the performance of the building by enabling energy efficient behavior in building occupants</w:t>
      </w:r>
      <w:r>
        <w:t xml:space="preserve">. </w:t>
      </w:r>
    </w:p>
    <w:p w:rsidR="00B235E6" w:rsidRDefault="00B235E6" w:rsidP="00B235E6">
      <w:pPr>
        <w:pStyle w:val="BodyText"/>
        <w:numPr>
          <w:ilvl w:val="1"/>
          <w:numId w:val="41"/>
        </w:numPr>
        <w:spacing w:after="0"/>
      </w:pPr>
      <w:r w:rsidRPr="002A3B06">
        <w:t xml:space="preserve">Implement one or more modes of communication to inform occupants about the actual energy consumption of the building and/or their workspace. This may be done in </w:t>
      </w:r>
      <w:r w:rsidRPr="002A3B06">
        <w:rPr>
          <w:b/>
        </w:rPr>
        <w:t>real-time, or through regular reporting mechanisms</w:t>
      </w:r>
      <w:r w:rsidRPr="002A3B06">
        <w:t xml:space="preserve">, but must be communicated at least on a monthly basis. Occupants must be given information with a relevant comparison point; the comparison point(s) may either be comparable buildings or spaces, or historical energy consumption data for the same space (at least 1 </w:t>
      </w:r>
      <w:proofErr w:type="spellStart"/>
      <w:proofErr w:type="gramStart"/>
      <w:r w:rsidRPr="002A3B06">
        <w:t>years</w:t>
      </w:r>
      <w:proofErr w:type="gramEnd"/>
      <w:r w:rsidRPr="002A3B06">
        <w:t xml:space="preserve"> worth</w:t>
      </w:r>
      <w:proofErr w:type="spellEnd"/>
      <w:r w:rsidRPr="002A3B06">
        <w:t xml:space="preserve"> of data, or predicted usage if 1 years data is not yet available).</w:t>
      </w:r>
    </w:p>
    <w:p w:rsidR="00B235E6" w:rsidRDefault="00B235E6" w:rsidP="00B235E6">
      <w:pPr>
        <w:pStyle w:val="BodyText"/>
        <w:numPr>
          <w:ilvl w:val="1"/>
          <w:numId w:val="41"/>
        </w:numPr>
        <w:spacing w:after="0"/>
      </w:pPr>
      <w:r w:rsidRPr="002A3B06">
        <w:t xml:space="preserve">The engagement program must also </w:t>
      </w:r>
      <w:r w:rsidRPr="002A3B06">
        <w:rPr>
          <w:b/>
        </w:rPr>
        <w:t>address more than one building system: lighting, HVAC, plug loads</w:t>
      </w:r>
      <w:r w:rsidRPr="002A3B06">
        <w:t>. If occupants do not have direct control over lighting and/or central HVAC systems, alternative methods and strategies that support energy conservation for these systems are acceptable (e.g., window shade control and use).</w:t>
      </w:r>
    </w:p>
    <w:p w:rsidR="004E3535" w:rsidRDefault="00C02FA8" w:rsidP="004E3535">
      <w:pPr>
        <w:pStyle w:val="BodyText"/>
        <w:numPr>
          <w:ilvl w:val="1"/>
          <w:numId w:val="41"/>
        </w:numPr>
        <w:spacing w:after="0"/>
      </w:pPr>
      <w:r>
        <w:rPr>
          <w:i/>
        </w:rPr>
        <w:t>This transferred from a pilot credit to an innovation credit - might only apply to LEEDv3</w:t>
      </w:r>
      <w:r w:rsidR="004E3535" w:rsidRPr="004E3535">
        <w:rPr>
          <w:i/>
        </w:rPr>
        <w:t xml:space="preserve">. </w:t>
      </w:r>
    </w:p>
    <w:p w:rsidR="001D5026" w:rsidRDefault="00537394" w:rsidP="00537394">
      <w:pPr>
        <w:pStyle w:val="Heading1"/>
      </w:pPr>
      <w:r>
        <w:lastRenderedPageBreak/>
        <w:t>Pilot Credits</w:t>
      </w:r>
    </w:p>
    <w:p w:rsidR="00537394" w:rsidRDefault="00537394" w:rsidP="00537394">
      <w:pPr>
        <w:pStyle w:val="BodyText"/>
      </w:pPr>
      <w:r>
        <w:t>The following lists potential credits available under the pilot credit category</w:t>
      </w:r>
      <w:r w:rsidR="009F650E">
        <w:t xml:space="preserve"> </w:t>
      </w:r>
      <w:hyperlink r:id="rId12" w:history="1">
        <w:r w:rsidR="009F650E" w:rsidRPr="006E306F">
          <w:rPr>
            <w:rStyle w:val="Hyperlink"/>
          </w:rPr>
          <w:t>http://www.usgbc.org/pilotcredits/New-Construction/v2009</w:t>
        </w:r>
      </w:hyperlink>
      <w:r w:rsidR="009F650E">
        <w:t xml:space="preserve"> </w:t>
      </w:r>
      <w:r>
        <w:t>.</w:t>
      </w:r>
      <w:r w:rsidR="000E69BF">
        <w:t xml:space="preserve"> Typically these point require a lot of administrative oversight (requires separate applications) and often before credits in the next version. </w:t>
      </w:r>
    </w:p>
    <w:p w:rsidR="00537394" w:rsidRDefault="009F650E" w:rsidP="00537394">
      <w:pPr>
        <w:pStyle w:val="BodyText"/>
        <w:numPr>
          <w:ilvl w:val="0"/>
          <w:numId w:val="41"/>
        </w:numPr>
        <w:spacing w:after="0"/>
      </w:pPr>
      <w:r>
        <w:t xml:space="preserve">BD+C </w:t>
      </w:r>
      <w:r w:rsidR="00537394">
        <w:t xml:space="preserve">EApc65: Monitoring Based Commissioning (1 point). </w:t>
      </w:r>
    </w:p>
    <w:p w:rsidR="00537394" w:rsidRPr="004E3535" w:rsidRDefault="000D58F2" w:rsidP="004E3535">
      <w:pPr>
        <w:pStyle w:val="BodyText"/>
        <w:numPr>
          <w:ilvl w:val="1"/>
          <w:numId w:val="41"/>
        </w:numPr>
        <w:spacing w:after="0"/>
        <w:rPr>
          <w:b/>
        </w:rPr>
      </w:pPr>
      <w:r>
        <w:t xml:space="preserve">Point </w:t>
      </w:r>
      <w:r w:rsidR="00537394">
        <w:t xml:space="preserve">requires </w:t>
      </w:r>
      <w:r>
        <w:t xml:space="preserve">commissioning </w:t>
      </w:r>
      <w:r w:rsidR="00537394">
        <w:t>plan</w:t>
      </w:r>
      <w:r>
        <w:t xml:space="preserve"> </w:t>
      </w:r>
      <w:r w:rsidR="00537394">
        <w:t xml:space="preserve">that outlines </w:t>
      </w:r>
      <w:r w:rsidR="00537394">
        <w:rPr>
          <w:b/>
        </w:rPr>
        <w:t>m</w:t>
      </w:r>
      <w:r w:rsidR="00537394" w:rsidRPr="00537394">
        <w:rPr>
          <w:b/>
        </w:rPr>
        <w:t>easurement requirements: meters, points, metering systems, data access</w:t>
      </w:r>
      <w:r>
        <w:rPr>
          <w:b/>
        </w:rPr>
        <w:t xml:space="preserve">. </w:t>
      </w:r>
      <w:r w:rsidRPr="000D58F2">
        <w:t>Point requires</w:t>
      </w:r>
      <w:r>
        <w:rPr>
          <w:b/>
        </w:rPr>
        <w:t xml:space="preserve"> </w:t>
      </w:r>
      <w:r>
        <w:t xml:space="preserve">related </w:t>
      </w:r>
      <w:proofErr w:type="spellStart"/>
      <w:r>
        <w:t>Cx</w:t>
      </w:r>
      <w:proofErr w:type="spellEnd"/>
      <w:r>
        <w:t xml:space="preserve"> </w:t>
      </w:r>
      <w:r>
        <w:t xml:space="preserve">services (see details in next section). </w:t>
      </w:r>
      <w:r w:rsidRPr="000D58F2">
        <w:rPr>
          <w:i/>
        </w:rPr>
        <w:t>This point</w:t>
      </w:r>
      <w:r w:rsidRPr="003862A3">
        <w:rPr>
          <w:i/>
        </w:rPr>
        <w:t xml:space="preserve"> is a bit of a stretch</w:t>
      </w:r>
      <w:r>
        <w:t xml:space="preserve"> </w:t>
      </w:r>
      <w:r w:rsidRPr="005066CA">
        <w:rPr>
          <w:i/>
        </w:rPr>
        <w:t xml:space="preserve">to connect to </w:t>
      </w:r>
      <w:proofErr w:type="spellStart"/>
      <w:r w:rsidRPr="005066CA">
        <w:rPr>
          <w:i/>
        </w:rPr>
        <w:t>eGauge</w:t>
      </w:r>
      <w:proofErr w:type="spellEnd"/>
      <w:r>
        <w:rPr>
          <w:i/>
        </w:rPr>
        <w:t>.</w:t>
      </w:r>
    </w:p>
    <w:p w:rsidR="001D5026" w:rsidRDefault="001D5026" w:rsidP="001D5026">
      <w:pPr>
        <w:pStyle w:val="BodyText"/>
      </w:pPr>
    </w:p>
    <w:sectPr w:rsidR="001D5026" w:rsidSect="008A6695">
      <w:headerReference w:type="default" r:id="rId13"/>
      <w:footerReference w:type="default" r:id="rId14"/>
      <w:footerReference w:type="first" r:id="rId15"/>
      <w:type w:val="oddPage"/>
      <w:pgSz w:w="12240" w:h="15840"/>
      <w:pgMar w:top="1080" w:right="1080" w:bottom="1080" w:left="1080" w:header="720" w:footer="64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37" w:rsidRDefault="00516537" w:rsidP="00D13B41">
      <w:r>
        <w:separator/>
      </w:r>
    </w:p>
  </w:endnote>
  <w:endnote w:type="continuationSeparator" w:id="0">
    <w:p w:rsidR="00516537" w:rsidRDefault="00516537" w:rsidP="00D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82531"/>
      <w:docPartObj>
        <w:docPartGallery w:val="Page Numbers (Bottom of Page)"/>
        <w:docPartUnique/>
      </w:docPartObj>
    </w:sdtPr>
    <w:sdtEndPr>
      <w:rPr>
        <w:color w:val="808080" w:themeColor="background1" w:themeShade="80"/>
        <w:spacing w:val="60"/>
      </w:rPr>
    </w:sdtEndPr>
    <w:sdtContent>
      <w:p w:rsidR="008A6695" w:rsidRDefault="008A6695" w:rsidP="008A6695">
        <w:pPr>
          <w:pStyle w:val="Footer"/>
          <w:pBdr>
            <w:top w:val="single" w:sz="4" w:space="1" w:color="D9D9D9" w:themeColor="background1" w:themeShade="D9"/>
          </w:pBdr>
          <w:spacing w:before="120"/>
          <w:jc w:val="right"/>
        </w:pPr>
        <w:r w:rsidRPr="002E1B46">
          <w:rPr>
            <w:rFonts w:asciiTheme="minorHAnsi" w:eastAsia="MS Mincho" w:hAnsiTheme="minorHAnsi"/>
            <w:noProof/>
            <w:spacing w:val="-5"/>
            <w:szCs w:val="20"/>
          </w:rPr>
          <w:drawing>
            <wp:anchor distT="0" distB="0" distL="114300" distR="114300" simplePos="0" relativeHeight="251659264" behindDoc="0" locked="0" layoutInCell="1" allowOverlap="1" wp14:anchorId="186FABD8" wp14:editId="0F2037EB">
              <wp:simplePos x="0" y="0"/>
              <wp:positionH relativeFrom="column">
                <wp:posOffset>-259080</wp:posOffset>
              </wp:positionH>
              <wp:positionV relativeFrom="paragraph">
                <wp:posOffset>57150</wp:posOffset>
              </wp:positionV>
              <wp:extent cx="2036209" cy="29080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keepEnergy_Logo_22_cute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209" cy="29080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D80270">
          <w:rPr>
            <w:noProof/>
          </w:rPr>
          <w:t>2</w:t>
        </w:r>
        <w:r>
          <w:rPr>
            <w:noProof/>
          </w:rPr>
          <w:fldChar w:fldCharType="end"/>
        </w:r>
        <w:r>
          <w:t xml:space="preserve"> | </w:t>
        </w:r>
        <w:r w:rsidRPr="008A6695">
          <w:rPr>
            <w:color w:val="808080" w:themeColor="background1" w:themeShade="80"/>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1416"/>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p w:rsidR="005F406A" w:rsidRPr="00DC2263" w:rsidRDefault="005F406A" w:rsidP="00DC2263">
        <w:pPr>
          <w:pStyle w:val="Footer"/>
          <w:pBdr>
            <w:top w:val="single" w:sz="4" w:space="1" w:color="D9D9D9" w:themeColor="background1" w:themeShade="D9"/>
          </w:pBdr>
          <w:jc w:val="right"/>
          <w:rPr>
            <w:rFonts w:asciiTheme="minorHAnsi" w:hAnsiTheme="minorHAnsi" w:cstheme="minorHAnsi"/>
          </w:rPr>
        </w:pPr>
        <w:r w:rsidRPr="00D13B41">
          <w:rPr>
            <w:rFonts w:asciiTheme="minorHAnsi" w:hAnsiTheme="minorHAnsi" w:cstheme="minorHAnsi"/>
          </w:rPr>
          <w:fldChar w:fldCharType="begin"/>
        </w:r>
        <w:r w:rsidRPr="00D13B41">
          <w:rPr>
            <w:rFonts w:asciiTheme="minorHAnsi" w:hAnsiTheme="minorHAnsi" w:cstheme="minorHAnsi"/>
          </w:rPr>
          <w:instrText xml:space="preserve"> PAGE   \* MERGEFORMAT </w:instrText>
        </w:r>
        <w:r w:rsidRPr="00D13B41">
          <w:rPr>
            <w:rFonts w:asciiTheme="minorHAnsi" w:hAnsiTheme="minorHAnsi" w:cstheme="minorHAnsi"/>
          </w:rPr>
          <w:fldChar w:fldCharType="separate"/>
        </w:r>
        <w:r w:rsidR="008A6695">
          <w:rPr>
            <w:rFonts w:asciiTheme="minorHAnsi" w:hAnsiTheme="minorHAnsi" w:cstheme="minorHAnsi"/>
            <w:noProof/>
          </w:rPr>
          <w:t>1</w:t>
        </w:r>
        <w:r w:rsidRPr="00D13B41">
          <w:rPr>
            <w:rFonts w:asciiTheme="minorHAnsi" w:hAnsiTheme="minorHAnsi" w:cstheme="minorHAnsi"/>
          </w:rPr>
          <w:fldChar w:fldCharType="end"/>
        </w:r>
        <w:r w:rsidRPr="00D13B41">
          <w:rPr>
            <w:rFonts w:asciiTheme="minorHAnsi" w:hAnsiTheme="minorHAnsi" w:cstheme="minorHAnsi"/>
          </w:rPr>
          <w:t xml:space="preserve"> | </w:t>
        </w:r>
        <w:r w:rsidRPr="00D13B41">
          <w:rPr>
            <w:rFonts w:asciiTheme="minorHAnsi" w:hAnsiTheme="minorHAnsi" w:cstheme="minorHAnsi"/>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37" w:rsidRDefault="00516537" w:rsidP="00D13B41">
      <w:r>
        <w:separator/>
      </w:r>
    </w:p>
  </w:footnote>
  <w:footnote w:type="continuationSeparator" w:id="0">
    <w:p w:rsidR="00516537" w:rsidRDefault="00516537" w:rsidP="00D1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695" w:rsidRDefault="008A6695" w:rsidP="008A6695">
    <w:pPr>
      <w:pStyle w:val="Header"/>
      <w:tabs>
        <w:tab w:val="right" w:pos="9936"/>
      </w:tabs>
      <w:jc w:val="right"/>
    </w:pPr>
    <w:r>
      <w:rPr>
        <w:rFonts w:ascii="Verdana" w:hAnsi="Verdana"/>
        <w:b/>
        <w:color w:val="808080" w:themeColor="background1" w:themeShade="80"/>
        <w:sz w:val="22"/>
      </w:rPr>
      <w:tab/>
      <w:t xml:space="preserve">           </w:t>
    </w:r>
    <w:r>
      <w:rPr>
        <w:rFonts w:ascii="Verdana" w:hAnsi="Verdana"/>
        <w:b/>
        <w:color w:val="808080" w:themeColor="background1" w:themeShade="80"/>
        <w:sz w:val="22"/>
      </w:rPr>
      <w:tab/>
    </w:r>
    <w:r w:rsidR="009F1307">
      <w:rPr>
        <w:rFonts w:ascii="Verdana" w:hAnsi="Verdana"/>
        <w:b/>
        <w:color w:val="808080" w:themeColor="background1" w:themeShade="80"/>
        <w:sz w:val="22"/>
      </w:rPr>
      <w:t>LEED Metering Credits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42C"/>
    <w:multiLevelType w:val="multilevel"/>
    <w:tmpl w:val="9FCCCE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9315CA6"/>
    <w:multiLevelType w:val="hybridMultilevel"/>
    <w:tmpl w:val="4B2C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4363B"/>
    <w:multiLevelType w:val="hybridMultilevel"/>
    <w:tmpl w:val="6154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9339B"/>
    <w:multiLevelType w:val="hybridMultilevel"/>
    <w:tmpl w:val="056C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D5B0C"/>
    <w:multiLevelType w:val="multilevel"/>
    <w:tmpl w:val="544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87F82"/>
    <w:multiLevelType w:val="hybridMultilevel"/>
    <w:tmpl w:val="E626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237C8"/>
    <w:multiLevelType w:val="hybridMultilevel"/>
    <w:tmpl w:val="BCD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8122C4"/>
    <w:multiLevelType w:val="hybridMultilevel"/>
    <w:tmpl w:val="C0C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E695A"/>
    <w:multiLevelType w:val="hybridMultilevel"/>
    <w:tmpl w:val="DBE6BD66"/>
    <w:lvl w:ilvl="0" w:tplc="81A284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26753"/>
    <w:multiLevelType w:val="hybridMultilevel"/>
    <w:tmpl w:val="41E8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82265"/>
    <w:multiLevelType w:val="hybridMultilevel"/>
    <w:tmpl w:val="7724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9921A1"/>
    <w:multiLevelType w:val="hybridMultilevel"/>
    <w:tmpl w:val="C738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E7052"/>
    <w:multiLevelType w:val="hybridMultilevel"/>
    <w:tmpl w:val="97D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C4A2C"/>
    <w:multiLevelType w:val="hybridMultilevel"/>
    <w:tmpl w:val="665E7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11259"/>
    <w:multiLevelType w:val="multilevel"/>
    <w:tmpl w:val="B5389728"/>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7F74B5D"/>
    <w:multiLevelType w:val="hybridMultilevel"/>
    <w:tmpl w:val="CA8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87D1F"/>
    <w:multiLevelType w:val="hybridMultilevel"/>
    <w:tmpl w:val="E5B2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E320F"/>
    <w:multiLevelType w:val="hybridMultilevel"/>
    <w:tmpl w:val="B5C4BB4C"/>
    <w:lvl w:ilvl="0" w:tplc="6F322E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77102"/>
    <w:multiLevelType w:val="hybridMultilevel"/>
    <w:tmpl w:val="9AE0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A351A"/>
    <w:multiLevelType w:val="hybridMultilevel"/>
    <w:tmpl w:val="B8DC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99D43C2"/>
    <w:multiLevelType w:val="hybridMultilevel"/>
    <w:tmpl w:val="6C9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A38F9"/>
    <w:multiLevelType w:val="hybridMultilevel"/>
    <w:tmpl w:val="E5B2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62F07"/>
    <w:multiLevelType w:val="hybridMultilevel"/>
    <w:tmpl w:val="D714D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D1A94"/>
    <w:multiLevelType w:val="hybridMultilevel"/>
    <w:tmpl w:val="14E0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63DB6"/>
    <w:multiLevelType w:val="hybridMultilevel"/>
    <w:tmpl w:val="8ED863B2"/>
    <w:lvl w:ilvl="0" w:tplc="A0B4C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62AA5"/>
    <w:multiLevelType w:val="multilevel"/>
    <w:tmpl w:val="A76C6892"/>
    <w:numStyleLink w:val="Bulletedlist"/>
  </w:abstractNum>
  <w:abstractNum w:abstractNumId="27">
    <w:nsid w:val="579C4559"/>
    <w:multiLevelType w:val="hybridMultilevel"/>
    <w:tmpl w:val="55503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713901"/>
    <w:multiLevelType w:val="hybridMultilevel"/>
    <w:tmpl w:val="1570E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22793A"/>
    <w:multiLevelType w:val="hybridMultilevel"/>
    <w:tmpl w:val="DEE6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CC01D2"/>
    <w:multiLevelType w:val="hybridMultilevel"/>
    <w:tmpl w:val="09AA283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69EE121A"/>
    <w:multiLevelType w:val="hybridMultilevel"/>
    <w:tmpl w:val="5012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467755"/>
    <w:multiLevelType w:val="hybridMultilevel"/>
    <w:tmpl w:val="3B1C24F6"/>
    <w:lvl w:ilvl="0" w:tplc="FFFFFFFF">
      <w:start w:val="1"/>
      <w:numFmt w:val="bullet"/>
      <w:pStyle w:val="Achievement"/>
      <w:lvlText w:val=""/>
      <w:lvlJc w:val="left"/>
      <w:pPr>
        <w:tabs>
          <w:tab w:val="num" w:pos="360"/>
        </w:tabs>
        <w:ind w:left="245" w:hanging="245"/>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CD1606F"/>
    <w:multiLevelType w:val="hybridMultilevel"/>
    <w:tmpl w:val="AC34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669A0"/>
    <w:multiLevelType w:val="hybridMultilevel"/>
    <w:tmpl w:val="FA32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94E43"/>
    <w:multiLevelType w:val="hybridMultilevel"/>
    <w:tmpl w:val="32B0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E62D60"/>
    <w:multiLevelType w:val="hybridMultilevel"/>
    <w:tmpl w:val="46BA9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F76D44"/>
    <w:multiLevelType w:val="hybridMultilevel"/>
    <w:tmpl w:val="0EC0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0306D"/>
    <w:multiLevelType w:val="hybridMultilevel"/>
    <w:tmpl w:val="0B1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A92B92"/>
    <w:multiLevelType w:val="hybridMultilevel"/>
    <w:tmpl w:val="76DE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E337A"/>
    <w:multiLevelType w:val="hybridMultilevel"/>
    <w:tmpl w:val="2DFA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109EE"/>
    <w:multiLevelType w:val="hybridMultilevel"/>
    <w:tmpl w:val="5A88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43943"/>
    <w:multiLevelType w:val="hybridMultilevel"/>
    <w:tmpl w:val="BB60D9E6"/>
    <w:lvl w:ilvl="0" w:tplc="1C46FE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D309C"/>
    <w:multiLevelType w:val="hybridMultilevel"/>
    <w:tmpl w:val="1AEE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0"/>
  </w:num>
  <w:num w:numId="4">
    <w:abstractNumId w:val="26"/>
  </w:num>
  <w:num w:numId="5">
    <w:abstractNumId w:val="32"/>
  </w:num>
  <w:num w:numId="6">
    <w:abstractNumId w:val="8"/>
  </w:num>
  <w:num w:numId="7">
    <w:abstractNumId w:val="37"/>
  </w:num>
  <w:num w:numId="8">
    <w:abstractNumId w:val="11"/>
  </w:num>
  <w:num w:numId="9">
    <w:abstractNumId w:val="39"/>
  </w:num>
  <w:num w:numId="10">
    <w:abstractNumId w:val="2"/>
  </w:num>
  <w:num w:numId="11">
    <w:abstractNumId w:val="18"/>
  </w:num>
  <w:num w:numId="12">
    <w:abstractNumId w:val="41"/>
  </w:num>
  <w:num w:numId="13">
    <w:abstractNumId w:val="10"/>
  </w:num>
  <w:num w:numId="14">
    <w:abstractNumId w:val="19"/>
  </w:num>
  <w:num w:numId="15">
    <w:abstractNumId w:val="27"/>
  </w:num>
  <w:num w:numId="16">
    <w:abstractNumId w:val="33"/>
  </w:num>
  <w:num w:numId="17">
    <w:abstractNumId w:val="1"/>
  </w:num>
  <w:num w:numId="18">
    <w:abstractNumId w:val="17"/>
  </w:num>
  <w:num w:numId="19">
    <w:abstractNumId w:val="42"/>
  </w:num>
  <w:num w:numId="20">
    <w:abstractNumId w:val="7"/>
  </w:num>
  <w:num w:numId="21">
    <w:abstractNumId w:val="40"/>
  </w:num>
  <w:num w:numId="22">
    <w:abstractNumId w:val="22"/>
  </w:num>
  <w:num w:numId="23">
    <w:abstractNumId w:val="21"/>
  </w:num>
  <w:num w:numId="24">
    <w:abstractNumId w:val="16"/>
  </w:num>
  <w:num w:numId="25">
    <w:abstractNumId w:val="9"/>
  </w:num>
  <w:num w:numId="26">
    <w:abstractNumId w:val="3"/>
  </w:num>
  <w:num w:numId="27">
    <w:abstractNumId w:val="5"/>
  </w:num>
  <w:num w:numId="28">
    <w:abstractNumId w:val="35"/>
  </w:num>
  <w:num w:numId="29">
    <w:abstractNumId w:val="31"/>
  </w:num>
  <w:num w:numId="30">
    <w:abstractNumId w:val="30"/>
  </w:num>
  <w:num w:numId="31">
    <w:abstractNumId w:val="34"/>
  </w:num>
  <w:num w:numId="32">
    <w:abstractNumId w:val="36"/>
  </w:num>
  <w:num w:numId="33">
    <w:abstractNumId w:val="13"/>
  </w:num>
  <w:num w:numId="34">
    <w:abstractNumId w:val="43"/>
  </w:num>
  <w:num w:numId="35">
    <w:abstractNumId w:val="23"/>
  </w:num>
  <w:num w:numId="36">
    <w:abstractNumId w:val="38"/>
  </w:num>
  <w:num w:numId="37">
    <w:abstractNumId w:val="24"/>
  </w:num>
  <w:num w:numId="38">
    <w:abstractNumId w:val="15"/>
  </w:num>
  <w:num w:numId="39">
    <w:abstractNumId w:val="25"/>
  </w:num>
  <w:num w:numId="40">
    <w:abstractNumId w:val="28"/>
  </w:num>
  <w:num w:numId="41">
    <w:abstractNumId w:val="12"/>
  </w:num>
  <w:num w:numId="42">
    <w:abstractNumId w:val="4"/>
  </w:num>
  <w:num w:numId="43">
    <w:abstractNumId w:val="29"/>
  </w:num>
  <w:num w:numId="4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39b54a,#f8f8f8"/>
    </o:shapedefaults>
  </w:hdrShapeDefaults>
  <w:footnotePr>
    <w:footnote w:id="-1"/>
    <w:footnote w:id="0"/>
  </w:footnotePr>
  <w:endnotePr>
    <w:endnote w:id="-1"/>
    <w:endnote w:id="0"/>
  </w:endnotePr>
  <w:compat>
    <w:compatSetting w:name="compatibilityMode" w:uri="http://schemas.microsoft.com/office/word" w:val="12"/>
  </w:compat>
  <w:rsids>
    <w:rsidRoot w:val="00965FEC"/>
    <w:rsid w:val="000004D2"/>
    <w:rsid w:val="00002B31"/>
    <w:rsid w:val="00003F10"/>
    <w:rsid w:val="00004C85"/>
    <w:rsid w:val="00005BEB"/>
    <w:rsid w:val="000078F0"/>
    <w:rsid w:val="0001074A"/>
    <w:rsid w:val="00010D47"/>
    <w:rsid w:val="0001288D"/>
    <w:rsid w:val="00013D4B"/>
    <w:rsid w:val="00013D5D"/>
    <w:rsid w:val="0001546D"/>
    <w:rsid w:val="00022669"/>
    <w:rsid w:val="00022CA7"/>
    <w:rsid w:val="00022EC6"/>
    <w:rsid w:val="0002593B"/>
    <w:rsid w:val="00025D64"/>
    <w:rsid w:val="00026875"/>
    <w:rsid w:val="0003023D"/>
    <w:rsid w:val="00031AC8"/>
    <w:rsid w:val="000332CA"/>
    <w:rsid w:val="00033658"/>
    <w:rsid w:val="000348D6"/>
    <w:rsid w:val="00034ADC"/>
    <w:rsid w:val="000376E4"/>
    <w:rsid w:val="0004043C"/>
    <w:rsid w:val="00042F2A"/>
    <w:rsid w:val="000466F4"/>
    <w:rsid w:val="00047469"/>
    <w:rsid w:val="0005037A"/>
    <w:rsid w:val="000525D0"/>
    <w:rsid w:val="00053874"/>
    <w:rsid w:val="00062F9F"/>
    <w:rsid w:val="00067351"/>
    <w:rsid w:val="00070F76"/>
    <w:rsid w:val="000711C6"/>
    <w:rsid w:val="00074FF5"/>
    <w:rsid w:val="00077894"/>
    <w:rsid w:val="00080D94"/>
    <w:rsid w:val="0008180B"/>
    <w:rsid w:val="000823AF"/>
    <w:rsid w:val="00083809"/>
    <w:rsid w:val="0008451A"/>
    <w:rsid w:val="00085222"/>
    <w:rsid w:val="00086AF1"/>
    <w:rsid w:val="00086C93"/>
    <w:rsid w:val="00092460"/>
    <w:rsid w:val="00092F19"/>
    <w:rsid w:val="00096AA7"/>
    <w:rsid w:val="00096F42"/>
    <w:rsid w:val="000A0246"/>
    <w:rsid w:val="000A171B"/>
    <w:rsid w:val="000A19E3"/>
    <w:rsid w:val="000A2269"/>
    <w:rsid w:val="000A4FA2"/>
    <w:rsid w:val="000A61CE"/>
    <w:rsid w:val="000A70DD"/>
    <w:rsid w:val="000A7595"/>
    <w:rsid w:val="000A7D0F"/>
    <w:rsid w:val="000B04A7"/>
    <w:rsid w:val="000B12A8"/>
    <w:rsid w:val="000B16D2"/>
    <w:rsid w:val="000B1931"/>
    <w:rsid w:val="000B4250"/>
    <w:rsid w:val="000B42D2"/>
    <w:rsid w:val="000B440B"/>
    <w:rsid w:val="000B4A13"/>
    <w:rsid w:val="000B6AA9"/>
    <w:rsid w:val="000C2E8D"/>
    <w:rsid w:val="000C3A22"/>
    <w:rsid w:val="000C53DF"/>
    <w:rsid w:val="000C6B98"/>
    <w:rsid w:val="000C74E0"/>
    <w:rsid w:val="000D589A"/>
    <w:rsid w:val="000D58F2"/>
    <w:rsid w:val="000D5B90"/>
    <w:rsid w:val="000E53E2"/>
    <w:rsid w:val="000E69BF"/>
    <w:rsid w:val="000E731E"/>
    <w:rsid w:val="000F0B5D"/>
    <w:rsid w:val="000F2E7A"/>
    <w:rsid w:val="000F4A09"/>
    <w:rsid w:val="00100981"/>
    <w:rsid w:val="00102524"/>
    <w:rsid w:val="00102DD9"/>
    <w:rsid w:val="00103E01"/>
    <w:rsid w:val="00105C44"/>
    <w:rsid w:val="001067AE"/>
    <w:rsid w:val="00107EBF"/>
    <w:rsid w:val="00110EA9"/>
    <w:rsid w:val="00113332"/>
    <w:rsid w:val="0011469F"/>
    <w:rsid w:val="0011579D"/>
    <w:rsid w:val="00126315"/>
    <w:rsid w:val="001267DF"/>
    <w:rsid w:val="00126D14"/>
    <w:rsid w:val="00130357"/>
    <w:rsid w:val="001303C9"/>
    <w:rsid w:val="00133347"/>
    <w:rsid w:val="00133DB0"/>
    <w:rsid w:val="00140B35"/>
    <w:rsid w:val="001418CE"/>
    <w:rsid w:val="001424F9"/>
    <w:rsid w:val="00142F5A"/>
    <w:rsid w:val="00143118"/>
    <w:rsid w:val="00146011"/>
    <w:rsid w:val="00150628"/>
    <w:rsid w:val="00154260"/>
    <w:rsid w:val="00157103"/>
    <w:rsid w:val="00160233"/>
    <w:rsid w:val="00160D01"/>
    <w:rsid w:val="00163D0B"/>
    <w:rsid w:val="00163DDC"/>
    <w:rsid w:val="001643D9"/>
    <w:rsid w:val="00165EFF"/>
    <w:rsid w:val="00173F61"/>
    <w:rsid w:val="001743E0"/>
    <w:rsid w:val="001774C2"/>
    <w:rsid w:val="00180AAF"/>
    <w:rsid w:val="001839AF"/>
    <w:rsid w:val="00190134"/>
    <w:rsid w:val="001903FB"/>
    <w:rsid w:val="00191699"/>
    <w:rsid w:val="001936F6"/>
    <w:rsid w:val="00195F0A"/>
    <w:rsid w:val="001A3A87"/>
    <w:rsid w:val="001A6E35"/>
    <w:rsid w:val="001B0129"/>
    <w:rsid w:val="001B2083"/>
    <w:rsid w:val="001C0FAB"/>
    <w:rsid w:val="001C2028"/>
    <w:rsid w:val="001C36CD"/>
    <w:rsid w:val="001C3B7F"/>
    <w:rsid w:val="001C3D8F"/>
    <w:rsid w:val="001C6B06"/>
    <w:rsid w:val="001C77BC"/>
    <w:rsid w:val="001D00D8"/>
    <w:rsid w:val="001D0FA7"/>
    <w:rsid w:val="001D3AF0"/>
    <w:rsid w:val="001D3E13"/>
    <w:rsid w:val="001D407E"/>
    <w:rsid w:val="001D5026"/>
    <w:rsid w:val="001D77A1"/>
    <w:rsid w:val="001E24A1"/>
    <w:rsid w:val="001E2F4F"/>
    <w:rsid w:val="001E47CB"/>
    <w:rsid w:val="001E6871"/>
    <w:rsid w:val="001F1795"/>
    <w:rsid w:val="001F25B0"/>
    <w:rsid w:val="001F25CA"/>
    <w:rsid w:val="001F2A79"/>
    <w:rsid w:val="001F4C8F"/>
    <w:rsid w:val="001F5564"/>
    <w:rsid w:val="001F55E2"/>
    <w:rsid w:val="001F568A"/>
    <w:rsid w:val="001F5D40"/>
    <w:rsid w:val="001F6037"/>
    <w:rsid w:val="001F6D31"/>
    <w:rsid w:val="0020031D"/>
    <w:rsid w:val="002006B2"/>
    <w:rsid w:val="0020140F"/>
    <w:rsid w:val="00206CFE"/>
    <w:rsid w:val="00206FAE"/>
    <w:rsid w:val="002109B7"/>
    <w:rsid w:val="00211260"/>
    <w:rsid w:val="00211729"/>
    <w:rsid w:val="00211CAB"/>
    <w:rsid w:val="002146BB"/>
    <w:rsid w:val="00214B3B"/>
    <w:rsid w:val="002162CA"/>
    <w:rsid w:val="00217B1D"/>
    <w:rsid w:val="00221C52"/>
    <w:rsid w:val="00222A39"/>
    <w:rsid w:val="002250E5"/>
    <w:rsid w:val="0022527D"/>
    <w:rsid w:val="0022546F"/>
    <w:rsid w:val="00227253"/>
    <w:rsid w:val="00227255"/>
    <w:rsid w:val="002373C4"/>
    <w:rsid w:val="00237B58"/>
    <w:rsid w:val="002429BD"/>
    <w:rsid w:val="00245A70"/>
    <w:rsid w:val="00245DF8"/>
    <w:rsid w:val="002470F5"/>
    <w:rsid w:val="00247BE7"/>
    <w:rsid w:val="00247F4B"/>
    <w:rsid w:val="00250A94"/>
    <w:rsid w:val="002555E8"/>
    <w:rsid w:val="00255D4D"/>
    <w:rsid w:val="00255D78"/>
    <w:rsid w:val="00256E40"/>
    <w:rsid w:val="00257901"/>
    <w:rsid w:val="00260213"/>
    <w:rsid w:val="00260AB4"/>
    <w:rsid w:val="002637F9"/>
    <w:rsid w:val="0027060F"/>
    <w:rsid w:val="0027152F"/>
    <w:rsid w:val="002727CD"/>
    <w:rsid w:val="002745ED"/>
    <w:rsid w:val="00275016"/>
    <w:rsid w:val="00275BC4"/>
    <w:rsid w:val="00276844"/>
    <w:rsid w:val="00277A6E"/>
    <w:rsid w:val="002802DD"/>
    <w:rsid w:val="00282DD5"/>
    <w:rsid w:val="0028340B"/>
    <w:rsid w:val="00286DB7"/>
    <w:rsid w:val="0029076A"/>
    <w:rsid w:val="002913D1"/>
    <w:rsid w:val="00291612"/>
    <w:rsid w:val="00291AE8"/>
    <w:rsid w:val="00291E00"/>
    <w:rsid w:val="00293F5D"/>
    <w:rsid w:val="0029746D"/>
    <w:rsid w:val="002A0A0E"/>
    <w:rsid w:val="002A0D0F"/>
    <w:rsid w:val="002A1455"/>
    <w:rsid w:val="002A16F4"/>
    <w:rsid w:val="002A3B06"/>
    <w:rsid w:val="002A406B"/>
    <w:rsid w:val="002A4FF2"/>
    <w:rsid w:val="002A60BD"/>
    <w:rsid w:val="002B0FC5"/>
    <w:rsid w:val="002B1663"/>
    <w:rsid w:val="002B29CD"/>
    <w:rsid w:val="002B3349"/>
    <w:rsid w:val="002C1854"/>
    <w:rsid w:val="002C5153"/>
    <w:rsid w:val="002C5684"/>
    <w:rsid w:val="002C5CBE"/>
    <w:rsid w:val="002C6B54"/>
    <w:rsid w:val="002C6EC3"/>
    <w:rsid w:val="002C76CC"/>
    <w:rsid w:val="002D1AF0"/>
    <w:rsid w:val="002D25B1"/>
    <w:rsid w:val="002D3379"/>
    <w:rsid w:val="002D50ED"/>
    <w:rsid w:val="002D522F"/>
    <w:rsid w:val="002E1B46"/>
    <w:rsid w:val="002E4845"/>
    <w:rsid w:val="002F03B4"/>
    <w:rsid w:val="002F05BB"/>
    <w:rsid w:val="002F05E2"/>
    <w:rsid w:val="002F0857"/>
    <w:rsid w:val="002F316E"/>
    <w:rsid w:val="002F6F71"/>
    <w:rsid w:val="003007C9"/>
    <w:rsid w:val="00303849"/>
    <w:rsid w:val="003048C9"/>
    <w:rsid w:val="00305055"/>
    <w:rsid w:val="003059E7"/>
    <w:rsid w:val="00305F4B"/>
    <w:rsid w:val="00306413"/>
    <w:rsid w:val="003115B1"/>
    <w:rsid w:val="00316B00"/>
    <w:rsid w:val="003306B2"/>
    <w:rsid w:val="00330D59"/>
    <w:rsid w:val="003353E0"/>
    <w:rsid w:val="0033745A"/>
    <w:rsid w:val="00337ADD"/>
    <w:rsid w:val="00337BD1"/>
    <w:rsid w:val="00341D67"/>
    <w:rsid w:val="00343446"/>
    <w:rsid w:val="00344C43"/>
    <w:rsid w:val="003467BB"/>
    <w:rsid w:val="00350D40"/>
    <w:rsid w:val="00351E09"/>
    <w:rsid w:val="00351FF0"/>
    <w:rsid w:val="003527D1"/>
    <w:rsid w:val="003543D3"/>
    <w:rsid w:val="00355B70"/>
    <w:rsid w:val="0036372D"/>
    <w:rsid w:val="00365258"/>
    <w:rsid w:val="0036545D"/>
    <w:rsid w:val="003700BB"/>
    <w:rsid w:val="003701A1"/>
    <w:rsid w:val="00372FB5"/>
    <w:rsid w:val="00373E0F"/>
    <w:rsid w:val="00377663"/>
    <w:rsid w:val="00381E01"/>
    <w:rsid w:val="003861C1"/>
    <w:rsid w:val="003862A3"/>
    <w:rsid w:val="00391EC7"/>
    <w:rsid w:val="00394D26"/>
    <w:rsid w:val="00395049"/>
    <w:rsid w:val="003961AC"/>
    <w:rsid w:val="00396F0B"/>
    <w:rsid w:val="0039771A"/>
    <w:rsid w:val="003A1CFB"/>
    <w:rsid w:val="003A22C2"/>
    <w:rsid w:val="003A4AF9"/>
    <w:rsid w:val="003B1928"/>
    <w:rsid w:val="003B3309"/>
    <w:rsid w:val="003B39F4"/>
    <w:rsid w:val="003B3F53"/>
    <w:rsid w:val="003B3FA3"/>
    <w:rsid w:val="003B5A0C"/>
    <w:rsid w:val="003B62A6"/>
    <w:rsid w:val="003B6408"/>
    <w:rsid w:val="003B793D"/>
    <w:rsid w:val="003C03D4"/>
    <w:rsid w:val="003C0BCF"/>
    <w:rsid w:val="003C1132"/>
    <w:rsid w:val="003C393E"/>
    <w:rsid w:val="003C596B"/>
    <w:rsid w:val="003C71C1"/>
    <w:rsid w:val="003D122A"/>
    <w:rsid w:val="003D284E"/>
    <w:rsid w:val="003D3B77"/>
    <w:rsid w:val="003E0040"/>
    <w:rsid w:val="003E065E"/>
    <w:rsid w:val="003E32F8"/>
    <w:rsid w:val="003E4F22"/>
    <w:rsid w:val="003F1F29"/>
    <w:rsid w:val="003F309D"/>
    <w:rsid w:val="003F33D5"/>
    <w:rsid w:val="003F36E7"/>
    <w:rsid w:val="003F6B0C"/>
    <w:rsid w:val="003F76F8"/>
    <w:rsid w:val="00402698"/>
    <w:rsid w:val="00402CA5"/>
    <w:rsid w:val="00402D56"/>
    <w:rsid w:val="004045BF"/>
    <w:rsid w:val="00412C68"/>
    <w:rsid w:val="00413A49"/>
    <w:rsid w:val="0042308D"/>
    <w:rsid w:val="004234BF"/>
    <w:rsid w:val="00423A30"/>
    <w:rsid w:val="00430B0C"/>
    <w:rsid w:val="00434B16"/>
    <w:rsid w:val="0043640E"/>
    <w:rsid w:val="00436FAE"/>
    <w:rsid w:val="004376D9"/>
    <w:rsid w:val="004438C7"/>
    <w:rsid w:val="00443D75"/>
    <w:rsid w:val="00447881"/>
    <w:rsid w:val="00450D80"/>
    <w:rsid w:val="00455929"/>
    <w:rsid w:val="0045739D"/>
    <w:rsid w:val="00457A01"/>
    <w:rsid w:val="00457DAB"/>
    <w:rsid w:val="004617D5"/>
    <w:rsid w:val="00461934"/>
    <w:rsid w:val="004654BB"/>
    <w:rsid w:val="004672CD"/>
    <w:rsid w:val="00467849"/>
    <w:rsid w:val="004705D9"/>
    <w:rsid w:val="00471704"/>
    <w:rsid w:val="00473337"/>
    <w:rsid w:val="00474B53"/>
    <w:rsid w:val="00476605"/>
    <w:rsid w:val="004769A7"/>
    <w:rsid w:val="00476FF0"/>
    <w:rsid w:val="004776D1"/>
    <w:rsid w:val="00481468"/>
    <w:rsid w:val="00481BB0"/>
    <w:rsid w:val="004833D8"/>
    <w:rsid w:val="00484A21"/>
    <w:rsid w:val="00485418"/>
    <w:rsid w:val="00487B58"/>
    <w:rsid w:val="00491561"/>
    <w:rsid w:val="00492D1D"/>
    <w:rsid w:val="004934FC"/>
    <w:rsid w:val="00493892"/>
    <w:rsid w:val="0049435B"/>
    <w:rsid w:val="00495B75"/>
    <w:rsid w:val="00495B80"/>
    <w:rsid w:val="004A16CC"/>
    <w:rsid w:val="004A196E"/>
    <w:rsid w:val="004A5170"/>
    <w:rsid w:val="004A5949"/>
    <w:rsid w:val="004A5F5E"/>
    <w:rsid w:val="004B0696"/>
    <w:rsid w:val="004B21C0"/>
    <w:rsid w:val="004B3610"/>
    <w:rsid w:val="004B3643"/>
    <w:rsid w:val="004B57A5"/>
    <w:rsid w:val="004B5DA3"/>
    <w:rsid w:val="004C05AE"/>
    <w:rsid w:val="004C2BC0"/>
    <w:rsid w:val="004C3EA2"/>
    <w:rsid w:val="004C418C"/>
    <w:rsid w:val="004C58EC"/>
    <w:rsid w:val="004C7ABA"/>
    <w:rsid w:val="004D098F"/>
    <w:rsid w:val="004D14EF"/>
    <w:rsid w:val="004D1A58"/>
    <w:rsid w:val="004D4655"/>
    <w:rsid w:val="004E1139"/>
    <w:rsid w:val="004E1552"/>
    <w:rsid w:val="004E1F68"/>
    <w:rsid w:val="004E274F"/>
    <w:rsid w:val="004E2EAE"/>
    <w:rsid w:val="004E3535"/>
    <w:rsid w:val="004E492F"/>
    <w:rsid w:val="004E538E"/>
    <w:rsid w:val="004E67DB"/>
    <w:rsid w:val="004F0855"/>
    <w:rsid w:val="004F1B98"/>
    <w:rsid w:val="004F2D14"/>
    <w:rsid w:val="004F4C7A"/>
    <w:rsid w:val="004F6691"/>
    <w:rsid w:val="0050033F"/>
    <w:rsid w:val="005022DB"/>
    <w:rsid w:val="0050661A"/>
    <w:rsid w:val="005066CA"/>
    <w:rsid w:val="005103A2"/>
    <w:rsid w:val="005106F4"/>
    <w:rsid w:val="00510FBF"/>
    <w:rsid w:val="00511364"/>
    <w:rsid w:val="005114B2"/>
    <w:rsid w:val="0051198D"/>
    <w:rsid w:val="00511FEE"/>
    <w:rsid w:val="005135F5"/>
    <w:rsid w:val="005156C2"/>
    <w:rsid w:val="00516537"/>
    <w:rsid w:val="0051747F"/>
    <w:rsid w:val="00517592"/>
    <w:rsid w:val="0052111C"/>
    <w:rsid w:val="005261A7"/>
    <w:rsid w:val="00526CCE"/>
    <w:rsid w:val="00526DC6"/>
    <w:rsid w:val="00532A70"/>
    <w:rsid w:val="00533668"/>
    <w:rsid w:val="00534134"/>
    <w:rsid w:val="00534A5B"/>
    <w:rsid w:val="00537394"/>
    <w:rsid w:val="00540660"/>
    <w:rsid w:val="00544D34"/>
    <w:rsid w:val="00550B9A"/>
    <w:rsid w:val="00554EDE"/>
    <w:rsid w:val="00555418"/>
    <w:rsid w:val="0056158F"/>
    <w:rsid w:val="00561996"/>
    <w:rsid w:val="00562613"/>
    <w:rsid w:val="00564736"/>
    <w:rsid w:val="00565929"/>
    <w:rsid w:val="00566DCD"/>
    <w:rsid w:val="00574D77"/>
    <w:rsid w:val="005766ED"/>
    <w:rsid w:val="00577CC2"/>
    <w:rsid w:val="00580D03"/>
    <w:rsid w:val="00582974"/>
    <w:rsid w:val="0058350D"/>
    <w:rsid w:val="00585A3F"/>
    <w:rsid w:val="005931BA"/>
    <w:rsid w:val="005937E0"/>
    <w:rsid w:val="00593BE0"/>
    <w:rsid w:val="00595497"/>
    <w:rsid w:val="00595833"/>
    <w:rsid w:val="00595CF3"/>
    <w:rsid w:val="005974FC"/>
    <w:rsid w:val="005A0B38"/>
    <w:rsid w:val="005A0D55"/>
    <w:rsid w:val="005A32EB"/>
    <w:rsid w:val="005A4DA1"/>
    <w:rsid w:val="005A5D68"/>
    <w:rsid w:val="005A70D5"/>
    <w:rsid w:val="005A79E1"/>
    <w:rsid w:val="005B2B87"/>
    <w:rsid w:val="005B5A74"/>
    <w:rsid w:val="005B5BC3"/>
    <w:rsid w:val="005B61F9"/>
    <w:rsid w:val="005B711F"/>
    <w:rsid w:val="005B760E"/>
    <w:rsid w:val="005C0A2E"/>
    <w:rsid w:val="005C6445"/>
    <w:rsid w:val="005C7938"/>
    <w:rsid w:val="005D038E"/>
    <w:rsid w:val="005D1BCA"/>
    <w:rsid w:val="005D3C0A"/>
    <w:rsid w:val="005D492A"/>
    <w:rsid w:val="005D4EF5"/>
    <w:rsid w:val="005D711D"/>
    <w:rsid w:val="005D71BF"/>
    <w:rsid w:val="005D7603"/>
    <w:rsid w:val="005E02CC"/>
    <w:rsid w:val="005E1E07"/>
    <w:rsid w:val="005E200E"/>
    <w:rsid w:val="005E4D99"/>
    <w:rsid w:val="005E6551"/>
    <w:rsid w:val="005E6555"/>
    <w:rsid w:val="005F1DD4"/>
    <w:rsid w:val="005F406A"/>
    <w:rsid w:val="005F61D5"/>
    <w:rsid w:val="005F6E92"/>
    <w:rsid w:val="005F78FB"/>
    <w:rsid w:val="005F7958"/>
    <w:rsid w:val="00601D21"/>
    <w:rsid w:val="00603477"/>
    <w:rsid w:val="006039EF"/>
    <w:rsid w:val="00605FA5"/>
    <w:rsid w:val="006062A3"/>
    <w:rsid w:val="0060774B"/>
    <w:rsid w:val="006100D7"/>
    <w:rsid w:val="0061035F"/>
    <w:rsid w:val="00613903"/>
    <w:rsid w:val="00615169"/>
    <w:rsid w:val="006158A8"/>
    <w:rsid w:val="0061738C"/>
    <w:rsid w:val="00617878"/>
    <w:rsid w:val="0062089E"/>
    <w:rsid w:val="00624F0E"/>
    <w:rsid w:val="00626652"/>
    <w:rsid w:val="006276C0"/>
    <w:rsid w:val="00631D82"/>
    <w:rsid w:val="00632007"/>
    <w:rsid w:val="006331AA"/>
    <w:rsid w:val="0063594F"/>
    <w:rsid w:val="00641E53"/>
    <w:rsid w:val="00644600"/>
    <w:rsid w:val="0064513C"/>
    <w:rsid w:val="006474B2"/>
    <w:rsid w:val="00651B7E"/>
    <w:rsid w:val="00652007"/>
    <w:rsid w:val="0065602A"/>
    <w:rsid w:val="00656555"/>
    <w:rsid w:val="0065719B"/>
    <w:rsid w:val="00657C04"/>
    <w:rsid w:val="00657D55"/>
    <w:rsid w:val="006607D8"/>
    <w:rsid w:val="006612F2"/>
    <w:rsid w:val="006628D6"/>
    <w:rsid w:val="00662CE6"/>
    <w:rsid w:val="00663052"/>
    <w:rsid w:val="00663132"/>
    <w:rsid w:val="00663AC0"/>
    <w:rsid w:val="00664B45"/>
    <w:rsid w:val="00665CB5"/>
    <w:rsid w:val="00665D2F"/>
    <w:rsid w:val="00670617"/>
    <w:rsid w:val="00671E13"/>
    <w:rsid w:val="00671E42"/>
    <w:rsid w:val="0067275C"/>
    <w:rsid w:val="0067277D"/>
    <w:rsid w:val="00672B70"/>
    <w:rsid w:val="0067363E"/>
    <w:rsid w:val="006738E2"/>
    <w:rsid w:val="00673B39"/>
    <w:rsid w:val="0067499B"/>
    <w:rsid w:val="00675C48"/>
    <w:rsid w:val="00677E9A"/>
    <w:rsid w:val="006824A9"/>
    <w:rsid w:val="0068281C"/>
    <w:rsid w:val="006875D0"/>
    <w:rsid w:val="00690ACD"/>
    <w:rsid w:val="00690BC5"/>
    <w:rsid w:val="00695482"/>
    <w:rsid w:val="00697DF3"/>
    <w:rsid w:val="006A066E"/>
    <w:rsid w:val="006A0968"/>
    <w:rsid w:val="006A2F05"/>
    <w:rsid w:val="006A41E8"/>
    <w:rsid w:val="006A42F9"/>
    <w:rsid w:val="006A4641"/>
    <w:rsid w:val="006A5CE7"/>
    <w:rsid w:val="006A6754"/>
    <w:rsid w:val="006A71E3"/>
    <w:rsid w:val="006A732F"/>
    <w:rsid w:val="006B0073"/>
    <w:rsid w:val="006B09C2"/>
    <w:rsid w:val="006B0F16"/>
    <w:rsid w:val="006B0F32"/>
    <w:rsid w:val="006B1D66"/>
    <w:rsid w:val="006B2D62"/>
    <w:rsid w:val="006B2FA4"/>
    <w:rsid w:val="006B3B32"/>
    <w:rsid w:val="006B3DD9"/>
    <w:rsid w:val="006B422E"/>
    <w:rsid w:val="006B61AA"/>
    <w:rsid w:val="006B7106"/>
    <w:rsid w:val="006B7C80"/>
    <w:rsid w:val="006C1FC7"/>
    <w:rsid w:val="006C3230"/>
    <w:rsid w:val="006C5598"/>
    <w:rsid w:val="006D0083"/>
    <w:rsid w:val="006D6985"/>
    <w:rsid w:val="006E0175"/>
    <w:rsid w:val="006E159F"/>
    <w:rsid w:val="006E2151"/>
    <w:rsid w:val="006E4FBD"/>
    <w:rsid w:val="006E68F2"/>
    <w:rsid w:val="006F0635"/>
    <w:rsid w:val="006F0A7B"/>
    <w:rsid w:val="006F1161"/>
    <w:rsid w:val="006F25B0"/>
    <w:rsid w:val="006F26FC"/>
    <w:rsid w:val="006F319A"/>
    <w:rsid w:val="006F3D4C"/>
    <w:rsid w:val="006F555C"/>
    <w:rsid w:val="006F55B9"/>
    <w:rsid w:val="006F56A5"/>
    <w:rsid w:val="006F6458"/>
    <w:rsid w:val="006F6A7A"/>
    <w:rsid w:val="00700B38"/>
    <w:rsid w:val="00701B39"/>
    <w:rsid w:val="00702D03"/>
    <w:rsid w:val="00702DE1"/>
    <w:rsid w:val="00703B32"/>
    <w:rsid w:val="007054C8"/>
    <w:rsid w:val="00706E3C"/>
    <w:rsid w:val="00706F0D"/>
    <w:rsid w:val="00707C4C"/>
    <w:rsid w:val="007100A3"/>
    <w:rsid w:val="00710554"/>
    <w:rsid w:val="007121D9"/>
    <w:rsid w:val="00712B1E"/>
    <w:rsid w:val="0071359B"/>
    <w:rsid w:val="00715845"/>
    <w:rsid w:val="00716080"/>
    <w:rsid w:val="00716411"/>
    <w:rsid w:val="00717E92"/>
    <w:rsid w:val="0072183C"/>
    <w:rsid w:val="007257A1"/>
    <w:rsid w:val="00725D46"/>
    <w:rsid w:val="007266CB"/>
    <w:rsid w:val="007274EE"/>
    <w:rsid w:val="00727B32"/>
    <w:rsid w:val="007308CC"/>
    <w:rsid w:val="00731100"/>
    <w:rsid w:val="00734F3B"/>
    <w:rsid w:val="00735DAE"/>
    <w:rsid w:val="00736284"/>
    <w:rsid w:val="00737B93"/>
    <w:rsid w:val="007403BB"/>
    <w:rsid w:val="007404D4"/>
    <w:rsid w:val="00742484"/>
    <w:rsid w:val="00742998"/>
    <w:rsid w:val="007431E1"/>
    <w:rsid w:val="0074432F"/>
    <w:rsid w:val="00746D42"/>
    <w:rsid w:val="00746FE0"/>
    <w:rsid w:val="007477AC"/>
    <w:rsid w:val="00751282"/>
    <w:rsid w:val="007603B4"/>
    <w:rsid w:val="00764EDE"/>
    <w:rsid w:val="0076706F"/>
    <w:rsid w:val="007673A2"/>
    <w:rsid w:val="007673F4"/>
    <w:rsid w:val="00767756"/>
    <w:rsid w:val="007716F7"/>
    <w:rsid w:val="00772EFE"/>
    <w:rsid w:val="0077345F"/>
    <w:rsid w:val="00773CC3"/>
    <w:rsid w:val="00774BEA"/>
    <w:rsid w:val="007756C8"/>
    <w:rsid w:val="0077635E"/>
    <w:rsid w:val="007766C4"/>
    <w:rsid w:val="00777BA5"/>
    <w:rsid w:val="00784192"/>
    <w:rsid w:val="0079225D"/>
    <w:rsid w:val="007939A8"/>
    <w:rsid w:val="007962A4"/>
    <w:rsid w:val="007966BA"/>
    <w:rsid w:val="007A00A8"/>
    <w:rsid w:val="007A030A"/>
    <w:rsid w:val="007A4049"/>
    <w:rsid w:val="007A5907"/>
    <w:rsid w:val="007A630E"/>
    <w:rsid w:val="007A6D01"/>
    <w:rsid w:val="007A7153"/>
    <w:rsid w:val="007B17DC"/>
    <w:rsid w:val="007B56C7"/>
    <w:rsid w:val="007C48F8"/>
    <w:rsid w:val="007C4B12"/>
    <w:rsid w:val="007C7E4B"/>
    <w:rsid w:val="007D29B7"/>
    <w:rsid w:val="007D3865"/>
    <w:rsid w:val="007D68AC"/>
    <w:rsid w:val="007D711F"/>
    <w:rsid w:val="007D72EF"/>
    <w:rsid w:val="007E164A"/>
    <w:rsid w:val="007E1AFB"/>
    <w:rsid w:val="007E1D70"/>
    <w:rsid w:val="007E3401"/>
    <w:rsid w:val="007E4319"/>
    <w:rsid w:val="007E7293"/>
    <w:rsid w:val="007F4819"/>
    <w:rsid w:val="007F5E33"/>
    <w:rsid w:val="007F6565"/>
    <w:rsid w:val="008001D7"/>
    <w:rsid w:val="00800E6B"/>
    <w:rsid w:val="00805517"/>
    <w:rsid w:val="008072F9"/>
    <w:rsid w:val="00810589"/>
    <w:rsid w:val="00812153"/>
    <w:rsid w:val="008130F3"/>
    <w:rsid w:val="00814DAB"/>
    <w:rsid w:val="008222D8"/>
    <w:rsid w:val="00822AC5"/>
    <w:rsid w:val="00823F8C"/>
    <w:rsid w:val="0082427E"/>
    <w:rsid w:val="00825642"/>
    <w:rsid w:val="0082756D"/>
    <w:rsid w:val="0083288E"/>
    <w:rsid w:val="00835C33"/>
    <w:rsid w:val="00840F43"/>
    <w:rsid w:val="00843CA3"/>
    <w:rsid w:val="0084707D"/>
    <w:rsid w:val="00850024"/>
    <w:rsid w:val="00850B49"/>
    <w:rsid w:val="00851652"/>
    <w:rsid w:val="00854741"/>
    <w:rsid w:val="0085638D"/>
    <w:rsid w:val="00857BBB"/>
    <w:rsid w:val="008654A0"/>
    <w:rsid w:val="00865E22"/>
    <w:rsid w:val="0086641E"/>
    <w:rsid w:val="0087386D"/>
    <w:rsid w:val="0087387B"/>
    <w:rsid w:val="008749DB"/>
    <w:rsid w:val="008767B3"/>
    <w:rsid w:val="00882A49"/>
    <w:rsid w:val="0088479C"/>
    <w:rsid w:val="00886861"/>
    <w:rsid w:val="008933FE"/>
    <w:rsid w:val="00895C25"/>
    <w:rsid w:val="00896666"/>
    <w:rsid w:val="00897BF3"/>
    <w:rsid w:val="008A345C"/>
    <w:rsid w:val="008A3D48"/>
    <w:rsid w:val="008A43C1"/>
    <w:rsid w:val="008A449C"/>
    <w:rsid w:val="008A4F77"/>
    <w:rsid w:val="008A6695"/>
    <w:rsid w:val="008B0C8A"/>
    <w:rsid w:val="008B1F83"/>
    <w:rsid w:val="008B2C21"/>
    <w:rsid w:val="008B5881"/>
    <w:rsid w:val="008C58FB"/>
    <w:rsid w:val="008C5A9D"/>
    <w:rsid w:val="008C6162"/>
    <w:rsid w:val="008C6EF1"/>
    <w:rsid w:val="008D1B6B"/>
    <w:rsid w:val="008D3EB0"/>
    <w:rsid w:val="008D408A"/>
    <w:rsid w:val="008D4D01"/>
    <w:rsid w:val="008D6875"/>
    <w:rsid w:val="008E00E8"/>
    <w:rsid w:val="008E1E4D"/>
    <w:rsid w:val="008E273E"/>
    <w:rsid w:val="008E5089"/>
    <w:rsid w:val="008E679B"/>
    <w:rsid w:val="008E7D05"/>
    <w:rsid w:val="008F0792"/>
    <w:rsid w:val="008F73A6"/>
    <w:rsid w:val="00900361"/>
    <w:rsid w:val="00900E72"/>
    <w:rsid w:val="00904A50"/>
    <w:rsid w:val="00905844"/>
    <w:rsid w:val="00905CB8"/>
    <w:rsid w:val="00905F3F"/>
    <w:rsid w:val="00915862"/>
    <w:rsid w:val="00920AF5"/>
    <w:rsid w:val="00921EEF"/>
    <w:rsid w:val="009229FF"/>
    <w:rsid w:val="0092348B"/>
    <w:rsid w:val="00923DEE"/>
    <w:rsid w:val="009254D9"/>
    <w:rsid w:val="00927A2F"/>
    <w:rsid w:val="00927D89"/>
    <w:rsid w:val="00930783"/>
    <w:rsid w:val="00932EF4"/>
    <w:rsid w:val="00935333"/>
    <w:rsid w:val="009360E4"/>
    <w:rsid w:val="009368E0"/>
    <w:rsid w:val="0094159B"/>
    <w:rsid w:val="00941894"/>
    <w:rsid w:val="0094216F"/>
    <w:rsid w:val="00943566"/>
    <w:rsid w:val="00944015"/>
    <w:rsid w:val="00945DF4"/>
    <w:rsid w:val="00947E6A"/>
    <w:rsid w:val="009528D9"/>
    <w:rsid w:val="00955DDB"/>
    <w:rsid w:val="00956DEE"/>
    <w:rsid w:val="009604DD"/>
    <w:rsid w:val="00961807"/>
    <w:rsid w:val="0096407C"/>
    <w:rsid w:val="00965FEC"/>
    <w:rsid w:val="00970BDF"/>
    <w:rsid w:val="00971DE5"/>
    <w:rsid w:val="009725CD"/>
    <w:rsid w:val="00972BCE"/>
    <w:rsid w:val="009776BF"/>
    <w:rsid w:val="00980739"/>
    <w:rsid w:val="009808B9"/>
    <w:rsid w:val="00982A71"/>
    <w:rsid w:val="00984F52"/>
    <w:rsid w:val="00985279"/>
    <w:rsid w:val="00987875"/>
    <w:rsid w:val="009878E2"/>
    <w:rsid w:val="00993AD5"/>
    <w:rsid w:val="0099727D"/>
    <w:rsid w:val="009A38E6"/>
    <w:rsid w:val="009A47B9"/>
    <w:rsid w:val="009A5056"/>
    <w:rsid w:val="009A53DB"/>
    <w:rsid w:val="009A5B58"/>
    <w:rsid w:val="009B27B7"/>
    <w:rsid w:val="009B50F9"/>
    <w:rsid w:val="009B61DC"/>
    <w:rsid w:val="009B658D"/>
    <w:rsid w:val="009C0241"/>
    <w:rsid w:val="009C0566"/>
    <w:rsid w:val="009C3B98"/>
    <w:rsid w:val="009C7706"/>
    <w:rsid w:val="009D2911"/>
    <w:rsid w:val="009D3F95"/>
    <w:rsid w:val="009D3FCE"/>
    <w:rsid w:val="009D619D"/>
    <w:rsid w:val="009D647C"/>
    <w:rsid w:val="009D74D9"/>
    <w:rsid w:val="009E5316"/>
    <w:rsid w:val="009F1307"/>
    <w:rsid w:val="009F3EF3"/>
    <w:rsid w:val="009F4D07"/>
    <w:rsid w:val="009F5516"/>
    <w:rsid w:val="009F5AC4"/>
    <w:rsid w:val="009F650E"/>
    <w:rsid w:val="009F6C8D"/>
    <w:rsid w:val="00A02304"/>
    <w:rsid w:val="00A029CA"/>
    <w:rsid w:val="00A02B2C"/>
    <w:rsid w:val="00A031EB"/>
    <w:rsid w:val="00A05071"/>
    <w:rsid w:val="00A05933"/>
    <w:rsid w:val="00A0602C"/>
    <w:rsid w:val="00A11954"/>
    <w:rsid w:val="00A12151"/>
    <w:rsid w:val="00A13640"/>
    <w:rsid w:val="00A13C24"/>
    <w:rsid w:val="00A163DB"/>
    <w:rsid w:val="00A16C8D"/>
    <w:rsid w:val="00A2046C"/>
    <w:rsid w:val="00A21CA8"/>
    <w:rsid w:val="00A231B6"/>
    <w:rsid w:val="00A24153"/>
    <w:rsid w:val="00A248C6"/>
    <w:rsid w:val="00A267ED"/>
    <w:rsid w:val="00A32039"/>
    <w:rsid w:val="00A3284B"/>
    <w:rsid w:val="00A32DB8"/>
    <w:rsid w:val="00A33608"/>
    <w:rsid w:val="00A34F03"/>
    <w:rsid w:val="00A359C7"/>
    <w:rsid w:val="00A36AA2"/>
    <w:rsid w:val="00A36BAE"/>
    <w:rsid w:val="00A36C37"/>
    <w:rsid w:val="00A40A23"/>
    <w:rsid w:val="00A40F9A"/>
    <w:rsid w:val="00A52E45"/>
    <w:rsid w:val="00A54423"/>
    <w:rsid w:val="00A56D2A"/>
    <w:rsid w:val="00A60CF8"/>
    <w:rsid w:val="00A614EA"/>
    <w:rsid w:val="00A6258A"/>
    <w:rsid w:val="00A6310C"/>
    <w:rsid w:val="00A6410B"/>
    <w:rsid w:val="00A64289"/>
    <w:rsid w:val="00A65B1B"/>
    <w:rsid w:val="00A67D85"/>
    <w:rsid w:val="00A70AAE"/>
    <w:rsid w:val="00A74214"/>
    <w:rsid w:val="00A76C7D"/>
    <w:rsid w:val="00A807E4"/>
    <w:rsid w:val="00A81CC2"/>
    <w:rsid w:val="00A82086"/>
    <w:rsid w:val="00A82FED"/>
    <w:rsid w:val="00A837D9"/>
    <w:rsid w:val="00A83E51"/>
    <w:rsid w:val="00A8556A"/>
    <w:rsid w:val="00A86E31"/>
    <w:rsid w:val="00A87AE5"/>
    <w:rsid w:val="00A91AFF"/>
    <w:rsid w:val="00A92368"/>
    <w:rsid w:val="00A93C57"/>
    <w:rsid w:val="00A94003"/>
    <w:rsid w:val="00A9484B"/>
    <w:rsid w:val="00A94E51"/>
    <w:rsid w:val="00A95CA1"/>
    <w:rsid w:val="00A96337"/>
    <w:rsid w:val="00AA1F2F"/>
    <w:rsid w:val="00AA3F47"/>
    <w:rsid w:val="00AA645D"/>
    <w:rsid w:val="00AA6E19"/>
    <w:rsid w:val="00AB16C7"/>
    <w:rsid w:val="00AB1D49"/>
    <w:rsid w:val="00AB466C"/>
    <w:rsid w:val="00AB50CB"/>
    <w:rsid w:val="00AC0600"/>
    <w:rsid w:val="00AC2979"/>
    <w:rsid w:val="00AC367D"/>
    <w:rsid w:val="00AC70B8"/>
    <w:rsid w:val="00AD1390"/>
    <w:rsid w:val="00AD17C6"/>
    <w:rsid w:val="00AD1C55"/>
    <w:rsid w:val="00AD1D3F"/>
    <w:rsid w:val="00AD2C96"/>
    <w:rsid w:val="00AD433D"/>
    <w:rsid w:val="00AD554E"/>
    <w:rsid w:val="00AD5855"/>
    <w:rsid w:val="00AD65E3"/>
    <w:rsid w:val="00AD6E9D"/>
    <w:rsid w:val="00AD736A"/>
    <w:rsid w:val="00AE3F35"/>
    <w:rsid w:val="00AE78E7"/>
    <w:rsid w:val="00AF0D66"/>
    <w:rsid w:val="00AF123B"/>
    <w:rsid w:val="00AF21EA"/>
    <w:rsid w:val="00AF38A6"/>
    <w:rsid w:val="00AF3CB2"/>
    <w:rsid w:val="00B0052A"/>
    <w:rsid w:val="00B0172E"/>
    <w:rsid w:val="00B02D8E"/>
    <w:rsid w:val="00B03777"/>
    <w:rsid w:val="00B05115"/>
    <w:rsid w:val="00B067D3"/>
    <w:rsid w:val="00B068EC"/>
    <w:rsid w:val="00B11777"/>
    <w:rsid w:val="00B1324D"/>
    <w:rsid w:val="00B14C0F"/>
    <w:rsid w:val="00B166FB"/>
    <w:rsid w:val="00B17752"/>
    <w:rsid w:val="00B210F1"/>
    <w:rsid w:val="00B224D1"/>
    <w:rsid w:val="00B23391"/>
    <w:rsid w:val="00B235E6"/>
    <w:rsid w:val="00B277FD"/>
    <w:rsid w:val="00B30995"/>
    <w:rsid w:val="00B31F17"/>
    <w:rsid w:val="00B326EB"/>
    <w:rsid w:val="00B3521A"/>
    <w:rsid w:val="00B35904"/>
    <w:rsid w:val="00B35ACF"/>
    <w:rsid w:val="00B37464"/>
    <w:rsid w:val="00B42B0C"/>
    <w:rsid w:val="00B46C71"/>
    <w:rsid w:val="00B50E9A"/>
    <w:rsid w:val="00B519A0"/>
    <w:rsid w:val="00B5265B"/>
    <w:rsid w:val="00B539A2"/>
    <w:rsid w:val="00B54B4C"/>
    <w:rsid w:val="00B55C33"/>
    <w:rsid w:val="00B640FF"/>
    <w:rsid w:val="00B64783"/>
    <w:rsid w:val="00B64E12"/>
    <w:rsid w:val="00B71E0D"/>
    <w:rsid w:val="00B738B8"/>
    <w:rsid w:val="00B74673"/>
    <w:rsid w:val="00B746A7"/>
    <w:rsid w:val="00B7778C"/>
    <w:rsid w:val="00B8054A"/>
    <w:rsid w:val="00B8055B"/>
    <w:rsid w:val="00B81B6E"/>
    <w:rsid w:val="00B82AD6"/>
    <w:rsid w:val="00B85FF2"/>
    <w:rsid w:val="00B8733C"/>
    <w:rsid w:val="00B87BEB"/>
    <w:rsid w:val="00BA68AF"/>
    <w:rsid w:val="00BB0A5C"/>
    <w:rsid w:val="00BB4BC6"/>
    <w:rsid w:val="00BC2B59"/>
    <w:rsid w:val="00BC35DC"/>
    <w:rsid w:val="00BC497C"/>
    <w:rsid w:val="00BC55C5"/>
    <w:rsid w:val="00BC56C7"/>
    <w:rsid w:val="00BC6021"/>
    <w:rsid w:val="00BD20B6"/>
    <w:rsid w:val="00BD49FF"/>
    <w:rsid w:val="00BD63B0"/>
    <w:rsid w:val="00BD6C01"/>
    <w:rsid w:val="00BE02AA"/>
    <w:rsid w:val="00BE08BD"/>
    <w:rsid w:val="00BE1FC2"/>
    <w:rsid w:val="00BE70E4"/>
    <w:rsid w:val="00BE72D3"/>
    <w:rsid w:val="00BE7A35"/>
    <w:rsid w:val="00BF63AB"/>
    <w:rsid w:val="00BF6E05"/>
    <w:rsid w:val="00C01219"/>
    <w:rsid w:val="00C02FA8"/>
    <w:rsid w:val="00C05155"/>
    <w:rsid w:val="00C05A5D"/>
    <w:rsid w:val="00C060D8"/>
    <w:rsid w:val="00C0721E"/>
    <w:rsid w:val="00C075EF"/>
    <w:rsid w:val="00C116D9"/>
    <w:rsid w:val="00C155BB"/>
    <w:rsid w:val="00C162FD"/>
    <w:rsid w:val="00C17023"/>
    <w:rsid w:val="00C1778E"/>
    <w:rsid w:val="00C25B40"/>
    <w:rsid w:val="00C3004B"/>
    <w:rsid w:val="00C34697"/>
    <w:rsid w:val="00C36095"/>
    <w:rsid w:val="00C40B20"/>
    <w:rsid w:val="00C417C4"/>
    <w:rsid w:val="00C42A14"/>
    <w:rsid w:val="00C43556"/>
    <w:rsid w:val="00C44D03"/>
    <w:rsid w:val="00C46346"/>
    <w:rsid w:val="00C50E39"/>
    <w:rsid w:val="00C50ECF"/>
    <w:rsid w:val="00C54220"/>
    <w:rsid w:val="00C54CAC"/>
    <w:rsid w:val="00C571C5"/>
    <w:rsid w:val="00C604EE"/>
    <w:rsid w:val="00C61FE6"/>
    <w:rsid w:val="00C629E2"/>
    <w:rsid w:val="00C62BE4"/>
    <w:rsid w:val="00C65BB1"/>
    <w:rsid w:val="00C71B4F"/>
    <w:rsid w:val="00C72665"/>
    <w:rsid w:val="00C73759"/>
    <w:rsid w:val="00C74005"/>
    <w:rsid w:val="00C75C1E"/>
    <w:rsid w:val="00C766D5"/>
    <w:rsid w:val="00C77F30"/>
    <w:rsid w:val="00C8294A"/>
    <w:rsid w:val="00C84AC5"/>
    <w:rsid w:val="00C85873"/>
    <w:rsid w:val="00C87F04"/>
    <w:rsid w:val="00C90326"/>
    <w:rsid w:val="00C9037F"/>
    <w:rsid w:val="00C93C0E"/>
    <w:rsid w:val="00C946DF"/>
    <w:rsid w:val="00C96064"/>
    <w:rsid w:val="00C96113"/>
    <w:rsid w:val="00C9676E"/>
    <w:rsid w:val="00CA28EA"/>
    <w:rsid w:val="00CA2933"/>
    <w:rsid w:val="00CA2B90"/>
    <w:rsid w:val="00CA3BFC"/>
    <w:rsid w:val="00CA4437"/>
    <w:rsid w:val="00CA46C3"/>
    <w:rsid w:val="00CA4A9D"/>
    <w:rsid w:val="00CA669E"/>
    <w:rsid w:val="00CA6CC8"/>
    <w:rsid w:val="00CA7495"/>
    <w:rsid w:val="00CB18D2"/>
    <w:rsid w:val="00CB19B9"/>
    <w:rsid w:val="00CB2919"/>
    <w:rsid w:val="00CB4403"/>
    <w:rsid w:val="00CB4DC2"/>
    <w:rsid w:val="00CB5A84"/>
    <w:rsid w:val="00CB6CFE"/>
    <w:rsid w:val="00CB79BB"/>
    <w:rsid w:val="00CC09E0"/>
    <w:rsid w:val="00CC168D"/>
    <w:rsid w:val="00CC2E81"/>
    <w:rsid w:val="00CC400D"/>
    <w:rsid w:val="00CC4218"/>
    <w:rsid w:val="00CC54B7"/>
    <w:rsid w:val="00CC5EA1"/>
    <w:rsid w:val="00CD05D3"/>
    <w:rsid w:val="00CD2A5A"/>
    <w:rsid w:val="00CD3A0B"/>
    <w:rsid w:val="00CD4A21"/>
    <w:rsid w:val="00CE1538"/>
    <w:rsid w:val="00CE377D"/>
    <w:rsid w:val="00CE3F0D"/>
    <w:rsid w:val="00CE542E"/>
    <w:rsid w:val="00CE6983"/>
    <w:rsid w:val="00CE7757"/>
    <w:rsid w:val="00CE7981"/>
    <w:rsid w:val="00CF101C"/>
    <w:rsid w:val="00CF2D52"/>
    <w:rsid w:val="00CF2D67"/>
    <w:rsid w:val="00CF3770"/>
    <w:rsid w:val="00CF4697"/>
    <w:rsid w:val="00CF57B7"/>
    <w:rsid w:val="00CF641C"/>
    <w:rsid w:val="00CF7E61"/>
    <w:rsid w:val="00D002F1"/>
    <w:rsid w:val="00D01004"/>
    <w:rsid w:val="00D06FBA"/>
    <w:rsid w:val="00D11FC8"/>
    <w:rsid w:val="00D12F81"/>
    <w:rsid w:val="00D13B41"/>
    <w:rsid w:val="00D13CD4"/>
    <w:rsid w:val="00D14DB2"/>
    <w:rsid w:val="00D15B29"/>
    <w:rsid w:val="00D16FC9"/>
    <w:rsid w:val="00D210C0"/>
    <w:rsid w:val="00D21848"/>
    <w:rsid w:val="00D228CD"/>
    <w:rsid w:val="00D22B9A"/>
    <w:rsid w:val="00D24A91"/>
    <w:rsid w:val="00D24D3B"/>
    <w:rsid w:val="00D24F9D"/>
    <w:rsid w:val="00D268EE"/>
    <w:rsid w:val="00D26BCF"/>
    <w:rsid w:val="00D30897"/>
    <w:rsid w:val="00D323E9"/>
    <w:rsid w:val="00D3258B"/>
    <w:rsid w:val="00D325D3"/>
    <w:rsid w:val="00D32AFA"/>
    <w:rsid w:val="00D349AA"/>
    <w:rsid w:val="00D35F14"/>
    <w:rsid w:val="00D36267"/>
    <w:rsid w:val="00D37692"/>
    <w:rsid w:val="00D40394"/>
    <w:rsid w:val="00D40E0B"/>
    <w:rsid w:val="00D4256B"/>
    <w:rsid w:val="00D437B7"/>
    <w:rsid w:val="00D44DD1"/>
    <w:rsid w:val="00D45BC9"/>
    <w:rsid w:val="00D50502"/>
    <w:rsid w:val="00D53AFC"/>
    <w:rsid w:val="00D57723"/>
    <w:rsid w:val="00D57838"/>
    <w:rsid w:val="00D60533"/>
    <w:rsid w:val="00D60666"/>
    <w:rsid w:val="00D62243"/>
    <w:rsid w:val="00D62B28"/>
    <w:rsid w:val="00D62FD3"/>
    <w:rsid w:val="00D63377"/>
    <w:rsid w:val="00D64C97"/>
    <w:rsid w:val="00D67BE5"/>
    <w:rsid w:val="00D734D9"/>
    <w:rsid w:val="00D74724"/>
    <w:rsid w:val="00D74AC8"/>
    <w:rsid w:val="00D778B3"/>
    <w:rsid w:val="00D80270"/>
    <w:rsid w:val="00D81843"/>
    <w:rsid w:val="00D81E8D"/>
    <w:rsid w:val="00D84B4D"/>
    <w:rsid w:val="00D84F18"/>
    <w:rsid w:val="00D8681D"/>
    <w:rsid w:val="00D8682E"/>
    <w:rsid w:val="00D93705"/>
    <w:rsid w:val="00D962FF"/>
    <w:rsid w:val="00DA37C4"/>
    <w:rsid w:val="00DA6A5F"/>
    <w:rsid w:val="00DA7788"/>
    <w:rsid w:val="00DB0A11"/>
    <w:rsid w:val="00DB0F1F"/>
    <w:rsid w:val="00DB2DD2"/>
    <w:rsid w:val="00DB352A"/>
    <w:rsid w:val="00DB4283"/>
    <w:rsid w:val="00DB5A80"/>
    <w:rsid w:val="00DB64C9"/>
    <w:rsid w:val="00DC0E7E"/>
    <w:rsid w:val="00DC2263"/>
    <w:rsid w:val="00DC2C51"/>
    <w:rsid w:val="00DC4D5A"/>
    <w:rsid w:val="00DD0859"/>
    <w:rsid w:val="00DD3994"/>
    <w:rsid w:val="00DD5D7B"/>
    <w:rsid w:val="00DD74F4"/>
    <w:rsid w:val="00DE047A"/>
    <w:rsid w:val="00DE0AD1"/>
    <w:rsid w:val="00DE1D0A"/>
    <w:rsid w:val="00DE2C72"/>
    <w:rsid w:val="00DE4C1D"/>
    <w:rsid w:val="00DE56D1"/>
    <w:rsid w:val="00DE5724"/>
    <w:rsid w:val="00DE5CA4"/>
    <w:rsid w:val="00DE5E9B"/>
    <w:rsid w:val="00DE69A4"/>
    <w:rsid w:val="00DE7710"/>
    <w:rsid w:val="00DE7922"/>
    <w:rsid w:val="00DF3C52"/>
    <w:rsid w:val="00DF4049"/>
    <w:rsid w:val="00DF465F"/>
    <w:rsid w:val="00E02763"/>
    <w:rsid w:val="00E03070"/>
    <w:rsid w:val="00E031B9"/>
    <w:rsid w:val="00E03C79"/>
    <w:rsid w:val="00E06430"/>
    <w:rsid w:val="00E1150C"/>
    <w:rsid w:val="00E15C9E"/>
    <w:rsid w:val="00E15CFE"/>
    <w:rsid w:val="00E166C5"/>
    <w:rsid w:val="00E21AC0"/>
    <w:rsid w:val="00E220A0"/>
    <w:rsid w:val="00E265BF"/>
    <w:rsid w:val="00E273C2"/>
    <w:rsid w:val="00E321CB"/>
    <w:rsid w:val="00E3591A"/>
    <w:rsid w:val="00E40B33"/>
    <w:rsid w:val="00E42338"/>
    <w:rsid w:val="00E46FD6"/>
    <w:rsid w:val="00E470FE"/>
    <w:rsid w:val="00E47D8C"/>
    <w:rsid w:val="00E51877"/>
    <w:rsid w:val="00E5197D"/>
    <w:rsid w:val="00E51F8D"/>
    <w:rsid w:val="00E52B2F"/>
    <w:rsid w:val="00E53458"/>
    <w:rsid w:val="00E54F32"/>
    <w:rsid w:val="00E56F21"/>
    <w:rsid w:val="00E57437"/>
    <w:rsid w:val="00E62018"/>
    <w:rsid w:val="00E65720"/>
    <w:rsid w:val="00E6650E"/>
    <w:rsid w:val="00E66793"/>
    <w:rsid w:val="00E710A7"/>
    <w:rsid w:val="00E73061"/>
    <w:rsid w:val="00E752B7"/>
    <w:rsid w:val="00E764A3"/>
    <w:rsid w:val="00E76CA8"/>
    <w:rsid w:val="00E772AE"/>
    <w:rsid w:val="00E83BD9"/>
    <w:rsid w:val="00E85E9E"/>
    <w:rsid w:val="00E8707A"/>
    <w:rsid w:val="00E87FAE"/>
    <w:rsid w:val="00E9086D"/>
    <w:rsid w:val="00E90CB4"/>
    <w:rsid w:val="00E90E4A"/>
    <w:rsid w:val="00E92B59"/>
    <w:rsid w:val="00E92F33"/>
    <w:rsid w:val="00E96064"/>
    <w:rsid w:val="00E9742B"/>
    <w:rsid w:val="00EA0C73"/>
    <w:rsid w:val="00EA17C6"/>
    <w:rsid w:val="00EA1BF9"/>
    <w:rsid w:val="00EA29BA"/>
    <w:rsid w:val="00EA2E9F"/>
    <w:rsid w:val="00EB1481"/>
    <w:rsid w:val="00EB1672"/>
    <w:rsid w:val="00EB2AC1"/>
    <w:rsid w:val="00EB4F0C"/>
    <w:rsid w:val="00EB56A7"/>
    <w:rsid w:val="00EB5D8D"/>
    <w:rsid w:val="00EC158F"/>
    <w:rsid w:val="00EC1761"/>
    <w:rsid w:val="00EC2223"/>
    <w:rsid w:val="00EC2937"/>
    <w:rsid w:val="00EC38B2"/>
    <w:rsid w:val="00EC5DBB"/>
    <w:rsid w:val="00EC6288"/>
    <w:rsid w:val="00EC6AFC"/>
    <w:rsid w:val="00ED08A6"/>
    <w:rsid w:val="00ED1A29"/>
    <w:rsid w:val="00EE0DA9"/>
    <w:rsid w:val="00EE21AB"/>
    <w:rsid w:val="00EE4471"/>
    <w:rsid w:val="00EE51E3"/>
    <w:rsid w:val="00EE7383"/>
    <w:rsid w:val="00EE77AB"/>
    <w:rsid w:val="00EE799C"/>
    <w:rsid w:val="00EF10AC"/>
    <w:rsid w:val="00EF2BFD"/>
    <w:rsid w:val="00EF33F0"/>
    <w:rsid w:val="00EF4002"/>
    <w:rsid w:val="00EF58DD"/>
    <w:rsid w:val="00EF60BC"/>
    <w:rsid w:val="00EF6462"/>
    <w:rsid w:val="00EF73C4"/>
    <w:rsid w:val="00F01939"/>
    <w:rsid w:val="00F1152C"/>
    <w:rsid w:val="00F13DE8"/>
    <w:rsid w:val="00F156F5"/>
    <w:rsid w:val="00F167DD"/>
    <w:rsid w:val="00F17626"/>
    <w:rsid w:val="00F205A6"/>
    <w:rsid w:val="00F20DF7"/>
    <w:rsid w:val="00F227AA"/>
    <w:rsid w:val="00F23757"/>
    <w:rsid w:val="00F24F96"/>
    <w:rsid w:val="00F26083"/>
    <w:rsid w:val="00F31617"/>
    <w:rsid w:val="00F31BE5"/>
    <w:rsid w:val="00F35C29"/>
    <w:rsid w:val="00F40153"/>
    <w:rsid w:val="00F40E15"/>
    <w:rsid w:val="00F4426B"/>
    <w:rsid w:val="00F452D1"/>
    <w:rsid w:val="00F45E46"/>
    <w:rsid w:val="00F50B45"/>
    <w:rsid w:val="00F50D82"/>
    <w:rsid w:val="00F51BDC"/>
    <w:rsid w:val="00F51F3E"/>
    <w:rsid w:val="00F527CA"/>
    <w:rsid w:val="00F529F6"/>
    <w:rsid w:val="00F52B76"/>
    <w:rsid w:val="00F53858"/>
    <w:rsid w:val="00F5401E"/>
    <w:rsid w:val="00F5495E"/>
    <w:rsid w:val="00F55F9F"/>
    <w:rsid w:val="00F560E1"/>
    <w:rsid w:val="00F609A1"/>
    <w:rsid w:val="00F63A31"/>
    <w:rsid w:val="00F64AF8"/>
    <w:rsid w:val="00F65284"/>
    <w:rsid w:val="00F65FE9"/>
    <w:rsid w:val="00F725D6"/>
    <w:rsid w:val="00F72698"/>
    <w:rsid w:val="00F73B25"/>
    <w:rsid w:val="00F74968"/>
    <w:rsid w:val="00F74B42"/>
    <w:rsid w:val="00F75D97"/>
    <w:rsid w:val="00F76133"/>
    <w:rsid w:val="00F77030"/>
    <w:rsid w:val="00F77CD7"/>
    <w:rsid w:val="00F80865"/>
    <w:rsid w:val="00F83E4C"/>
    <w:rsid w:val="00F8728B"/>
    <w:rsid w:val="00F87D85"/>
    <w:rsid w:val="00F91657"/>
    <w:rsid w:val="00F916E7"/>
    <w:rsid w:val="00F91FAD"/>
    <w:rsid w:val="00F92315"/>
    <w:rsid w:val="00F937E8"/>
    <w:rsid w:val="00F94B91"/>
    <w:rsid w:val="00F94B92"/>
    <w:rsid w:val="00F94D44"/>
    <w:rsid w:val="00F9519A"/>
    <w:rsid w:val="00F95370"/>
    <w:rsid w:val="00FA0448"/>
    <w:rsid w:val="00FA18C0"/>
    <w:rsid w:val="00FA1B88"/>
    <w:rsid w:val="00FA20DB"/>
    <w:rsid w:val="00FA2273"/>
    <w:rsid w:val="00FA6181"/>
    <w:rsid w:val="00FA688D"/>
    <w:rsid w:val="00FB2E04"/>
    <w:rsid w:val="00FB49F3"/>
    <w:rsid w:val="00FB4EF5"/>
    <w:rsid w:val="00FB5FF5"/>
    <w:rsid w:val="00FB6CA6"/>
    <w:rsid w:val="00FC07E7"/>
    <w:rsid w:val="00FC3D10"/>
    <w:rsid w:val="00FC40F3"/>
    <w:rsid w:val="00FC7DE3"/>
    <w:rsid w:val="00FD2A10"/>
    <w:rsid w:val="00FD2D0D"/>
    <w:rsid w:val="00FD42D7"/>
    <w:rsid w:val="00FD5F64"/>
    <w:rsid w:val="00FE092D"/>
    <w:rsid w:val="00FE354B"/>
    <w:rsid w:val="00FE3774"/>
    <w:rsid w:val="00FE5F48"/>
    <w:rsid w:val="00FF065F"/>
    <w:rsid w:val="00FF1868"/>
    <w:rsid w:val="00FF2CEB"/>
    <w:rsid w:val="00FF48B3"/>
    <w:rsid w:val="00FF4D7F"/>
    <w:rsid w:val="00FF6156"/>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9b54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10"/>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150628"/>
    <w:pPr>
      <w:keepNext/>
      <w:spacing w:before="240" w:after="60"/>
      <w:outlineLvl w:val="0"/>
    </w:pPr>
    <w:rPr>
      <w:rFonts w:ascii="Arial" w:hAnsi="Arial" w:cs="Arial"/>
      <w:b/>
      <w:bCs/>
      <w:smallCaps/>
      <w:color w:val="39B54A"/>
      <w:spacing w:val="30"/>
      <w:kern w:val="32"/>
      <w:sz w:val="32"/>
      <w:szCs w:val="32"/>
    </w:rPr>
  </w:style>
  <w:style w:type="paragraph" w:styleId="Heading2">
    <w:name w:val="heading 2"/>
    <w:basedOn w:val="Normal"/>
    <w:next w:val="BodyText"/>
    <w:link w:val="Heading2Char"/>
    <w:qFormat/>
    <w:rsid w:val="0022527D"/>
    <w:pPr>
      <w:keepNext/>
      <w:spacing w:before="240" w:after="60"/>
      <w:outlineLvl w:val="1"/>
    </w:pPr>
    <w:rPr>
      <w:rFonts w:ascii="Arial" w:hAnsi="Arial" w:cs="Arial"/>
      <w:b/>
      <w:bCs/>
      <w:i/>
      <w:iCs/>
      <w:color w:val="595959" w:themeColor="text1" w:themeTint="A6"/>
      <w:spacing w:val="30"/>
      <w:szCs w:val="28"/>
    </w:rPr>
  </w:style>
  <w:style w:type="paragraph" w:styleId="Heading3">
    <w:name w:val="heading 3"/>
    <w:basedOn w:val="Heading2"/>
    <w:next w:val="BodyText"/>
    <w:link w:val="Heading3Char"/>
    <w:qFormat/>
    <w:rsid w:val="0064513C"/>
    <w:pPr>
      <w:spacing w:before="120"/>
      <w:outlineLvl w:val="2"/>
    </w:pPr>
    <w:rPr>
      <w:b w:val="0"/>
    </w:rPr>
  </w:style>
  <w:style w:type="paragraph" w:styleId="Heading4">
    <w:name w:val="heading 4"/>
    <w:basedOn w:val="Normal"/>
    <w:next w:val="BodyText"/>
    <w:link w:val="Heading4Char"/>
    <w:qFormat/>
    <w:rsid w:val="006C1FC7"/>
    <w:pPr>
      <w:keepNext/>
      <w:spacing w:before="240" w:after="60"/>
      <w:outlineLvl w:val="3"/>
    </w:pPr>
    <w:rPr>
      <w:rFonts w:ascii="Arial" w:hAnsi="Arial"/>
      <w:b/>
      <w:bCs/>
      <w:color w:val="1C5A24" w:themeColor="accent3" w:themeShade="80"/>
      <w:szCs w:val="28"/>
    </w:rPr>
  </w:style>
  <w:style w:type="paragraph" w:styleId="Heading7">
    <w:name w:val="heading 7"/>
    <w:basedOn w:val="Normal"/>
    <w:next w:val="Normal"/>
    <w:link w:val="Heading7Char"/>
    <w:qFormat/>
    <w:rsid w:val="00FC3D10"/>
    <w:pPr>
      <w:numPr>
        <w:ilvl w:val="6"/>
        <w:numId w:val="2"/>
      </w:numPr>
      <w:spacing w:before="240" w:after="60"/>
      <w:outlineLvl w:val="6"/>
    </w:pPr>
  </w:style>
  <w:style w:type="paragraph" w:styleId="Heading8">
    <w:name w:val="heading 8"/>
    <w:basedOn w:val="Normal"/>
    <w:next w:val="Normal"/>
    <w:link w:val="Heading8Char"/>
    <w:qFormat/>
    <w:rsid w:val="00FC3D10"/>
    <w:pPr>
      <w:numPr>
        <w:ilvl w:val="7"/>
        <w:numId w:val="2"/>
      </w:numPr>
      <w:spacing w:before="240" w:after="60"/>
      <w:outlineLvl w:val="7"/>
    </w:pPr>
    <w:rPr>
      <w:i/>
      <w:iCs/>
    </w:rPr>
  </w:style>
  <w:style w:type="paragraph" w:styleId="Heading9">
    <w:name w:val="heading 9"/>
    <w:basedOn w:val="Normal"/>
    <w:next w:val="Normal"/>
    <w:link w:val="Heading9Char"/>
    <w:qFormat/>
    <w:rsid w:val="00FC3D1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C3D10"/>
    <w:rPr>
      <w:sz w:val="20"/>
      <w:szCs w:val="20"/>
    </w:rPr>
  </w:style>
  <w:style w:type="character" w:customStyle="1" w:styleId="FootnoteTextChar">
    <w:name w:val="Footnote Text Char"/>
    <w:basedOn w:val="DefaultParagraphFont"/>
    <w:link w:val="FootnoteText"/>
    <w:rsid w:val="006B7106"/>
    <w:rPr>
      <w:rFonts w:ascii="Times New Roman" w:eastAsia="Times New Roman" w:hAnsi="Times New Roman" w:cs="Times New Roman"/>
      <w:sz w:val="20"/>
      <w:szCs w:val="20"/>
    </w:rPr>
  </w:style>
  <w:style w:type="paragraph" w:styleId="BodyText">
    <w:name w:val="Body Text"/>
    <w:basedOn w:val="Normal"/>
    <w:link w:val="BodyTextChar"/>
    <w:qFormat/>
    <w:rsid w:val="00D13B41"/>
    <w:pPr>
      <w:spacing w:after="120" w:line="276" w:lineRule="auto"/>
    </w:pPr>
    <w:rPr>
      <w:rFonts w:asciiTheme="minorHAnsi" w:eastAsia="MS Mincho" w:hAnsiTheme="minorHAnsi"/>
      <w:spacing w:val="-5"/>
      <w:szCs w:val="20"/>
    </w:rPr>
  </w:style>
  <w:style w:type="character" w:customStyle="1" w:styleId="BodyTextChar">
    <w:name w:val="Body Text Char"/>
    <w:basedOn w:val="DefaultParagraphFont"/>
    <w:link w:val="BodyText"/>
    <w:rsid w:val="00D13B41"/>
    <w:rPr>
      <w:rFonts w:eastAsia="MS Mincho" w:cs="Times New Roman"/>
      <w:spacing w:val="-5"/>
      <w:sz w:val="24"/>
      <w:szCs w:val="20"/>
    </w:rPr>
  </w:style>
  <w:style w:type="character" w:customStyle="1" w:styleId="Heading1Char">
    <w:name w:val="Heading 1 Char"/>
    <w:basedOn w:val="DefaultParagraphFont"/>
    <w:link w:val="Heading1"/>
    <w:rsid w:val="00150628"/>
    <w:rPr>
      <w:rFonts w:ascii="Arial" w:hAnsi="Arial" w:cs="Arial"/>
      <w:b/>
      <w:bCs/>
      <w:smallCaps/>
      <w:color w:val="39B54A"/>
      <w:spacing w:val="30"/>
      <w:kern w:val="32"/>
      <w:sz w:val="32"/>
      <w:szCs w:val="32"/>
    </w:rPr>
  </w:style>
  <w:style w:type="character" w:customStyle="1" w:styleId="Heading2Char">
    <w:name w:val="Heading 2 Char"/>
    <w:basedOn w:val="DefaultParagraphFont"/>
    <w:link w:val="Heading2"/>
    <w:rsid w:val="0022527D"/>
    <w:rPr>
      <w:rFonts w:ascii="Arial" w:hAnsi="Arial" w:cs="Arial"/>
      <w:b/>
      <w:bCs/>
      <w:i/>
      <w:iCs/>
      <w:color w:val="595959" w:themeColor="text1" w:themeTint="A6"/>
      <w:spacing w:val="30"/>
      <w:sz w:val="24"/>
      <w:szCs w:val="28"/>
    </w:rPr>
  </w:style>
  <w:style w:type="paragraph" w:styleId="BalloonText">
    <w:name w:val="Balloon Text"/>
    <w:basedOn w:val="Normal"/>
    <w:link w:val="BalloonTextChar"/>
    <w:uiPriority w:val="99"/>
    <w:rsid w:val="00FC3D10"/>
    <w:rPr>
      <w:rFonts w:ascii="Tahoma" w:hAnsi="Tahoma" w:cs="Tahoma"/>
      <w:sz w:val="16"/>
      <w:szCs w:val="16"/>
    </w:rPr>
  </w:style>
  <w:style w:type="character" w:customStyle="1" w:styleId="BalloonTextChar">
    <w:name w:val="Balloon Text Char"/>
    <w:basedOn w:val="DefaultParagraphFont"/>
    <w:link w:val="BalloonText"/>
    <w:uiPriority w:val="99"/>
    <w:rsid w:val="00FC3D10"/>
    <w:rPr>
      <w:rFonts w:ascii="Tahoma" w:eastAsia="Times New Roman" w:hAnsi="Tahoma" w:cs="Tahoma"/>
      <w:sz w:val="16"/>
      <w:szCs w:val="16"/>
    </w:rPr>
  </w:style>
  <w:style w:type="paragraph" w:styleId="Caption">
    <w:name w:val="caption"/>
    <w:basedOn w:val="Normal"/>
    <w:next w:val="Normal"/>
    <w:uiPriority w:val="35"/>
    <w:qFormat/>
    <w:rsid w:val="00FC3D10"/>
    <w:pPr>
      <w:spacing w:before="40" w:after="120"/>
      <w:jc w:val="center"/>
    </w:pPr>
    <w:rPr>
      <w:rFonts w:ascii="Arial" w:hAnsi="Arial"/>
      <w:b/>
      <w:bCs/>
      <w:sz w:val="18"/>
      <w:szCs w:val="20"/>
    </w:rPr>
  </w:style>
  <w:style w:type="character" w:styleId="CommentReference">
    <w:name w:val="annotation reference"/>
    <w:basedOn w:val="DefaultParagraphFont"/>
    <w:uiPriority w:val="99"/>
    <w:rsid w:val="00FC3D10"/>
    <w:rPr>
      <w:sz w:val="16"/>
      <w:szCs w:val="16"/>
    </w:rPr>
  </w:style>
  <w:style w:type="paragraph" w:styleId="CommentText">
    <w:name w:val="annotation text"/>
    <w:basedOn w:val="Normal"/>
    <w:link w:val="CommentTextChar"/>
    <w:uiPriority w:val="99"/>
    <w:rsid w:val="00FC3D10"/>
    <w:rPr>
      <w:sz w:val="20"/>
      <w:szCs w:val="20"/>
    </w:rPr>
  </w:style>
  <w:style w:type="character" w:customStyle="1" w:styleId="CommentTextChar">
    <w:name w:val="Comment Text Char"/>
    <w:basedOn w:val="DefaultParagraphFont"/>
    <w:link w:val="CommentText"/>
    <w:uiPriority w:val="99"/>
    <w:rsid w:val="00FC3D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C3D10"/>
    <w:rPr>
      <w:b/>
      <w:bCs/>
    </w:rPr>
  </w:style>
  <w:style w:type="character" w:customStyle="1" w:styleId="CommentSubjectChar">
    <w:name w:val="Comment Subject Char"/>
    <w:basedOn w:val="CommentTextChar"/>
    <w:link w:val="CommentSubject"/>
    <w:rsid w:val="00FC3D10"/>
    <w:rPr>
      <w:rFonts w:ascii="Times New Roman" w:eastAsia="Times New Roman" w:hAnsi="Times New Roman" w:cs="Times New Roman"/>
      <w:b/>
      <w:bCs/>
      <w:sz w:val="20"/>
      <w:szCs w:val="20"/>
    </w:rPr>
  </w:style>
  <w:style w:type="paragraph" w:customStyle="1" w:styleId="Default">
    <w:name w:val="Default"/>
    <w:rsid w:val="00FC3D10"/>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rsid w:val="00FC3D10"/>
    <w:rPr>
      <w:rFonts w:ascii="Tahoma" w:hAnsi="Tahoma" w:cs="Tahoma"/>
      <w:sz w:val="16"/>
      <w:szCs w:val="16"/>
    </w:rPr>
  </w:style>
  <w:style w:type="character" w:customStyle="1" w:styleId="DocumentMapChar">
    <w:name w:val="Document Map Char"/>
    <w:basedOn w:val="DefaultParagraphFont"/>
    <w:link w:val="DocumentMap"/>
    <w:rsid w:val="00FC3D10"/>
    <w:rPr>
      <w:rFonts w:ascii="Tahoma" w:eastAsia="Times New Roman" w:hAnsi="Tahoma" w:cs="Tahoma"/>
      <w:sz w:val="16"/>
      <w:szCs w:val="16"/>
    </w:rPr>
  </w:style>
  <w:style w:type="paragraph" w:styleId="Footer">
    <w:name w:val="footer"/>
    <w:basedOn w:val="Normal"/>
    <w:link w:val="FooterChar"/>
    <w:uiPriority w:val="99"/>
    <w:rsid w:val="00FC3D10"/>
    <w:pPr>
      <w:tabs>
        <w:tab w:val="center" w:pos="4320"/>
        <w:tab w:val="right" w:pos="8640"/>
      </w:tabs>
    </w:pPr>
  </w:style>
  <w:style w:type="character" w:customStyle="1" w:styleId="FooterChar">
    <w:name w:val="Footer Char"/>
    <w:basedOn w:val="DefaultParagraphFont"/>
    <w:link w:val="Footer"/>
    <w:uiPriority w:val="99"/>
    <w:rsid w:val="00FC3D10"/>
    <w:rPr>
      <w:rFonts w:ascii="Times New Roman" w:eastAsia="Times New Roman" w:hAnsi="Times New Roman" w:cs="Times New Roman"/>
      <w:sz w:val="24"/>
      <w:szCs w:val="24"/>
    </w:rPr>
  </w:style>
  <w:style w:type="character" w:styleId="FootnoteReference">
    <w:name w:val="footnote reference"/>
    <w:basedOn w:val="DefaultParagraphFont"/>
    <w:rsid w:val="00FC3D10"/>
    <w:rPr>
      <w:vertAlign w:val="superscript"/>
    </w:rPr>
  </w:style>
  <w:style w:type="paragraph" w:styleId="Header">
    <w:name w:val="header"/>
    <w:basedOn w:val="Normal"/>
    <w:link w:val="HeaderChar"/>
    <w:uiPriority w:val="99"/>
    <w:rsid w:val="00FC3D10"/>
    <w:pPr>
      <w:tabs>
        <w:tab w:val="center" w:pos="4320"/>
        <w:tab w:val="right" w:pos="8640"/>
      </w:tabs>
    </w:pPr>
  </w:style>
  <w:style w:type="character" w:customStyle="1" w:styleId="HeaderChar">
    <w:name w:val="Header Char"/>
    <w:basedOn w:val="DefaultParagraphFont"/>
    <w:link w:val="Header"/>
    <w:uiPriority w:val="99"/>
    <w:rsid w:val="00FC3D1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4513C"/>
    <w:rPr>
      <w:rFonts w:ascii="Arial" w:hAnsi="Arial" w:cs="Arial"/>
      <w:bCs/>
      <w:i/>
      <w:iCs/>
      <w:color w:val="595959" w:themeColor="text1" w:themeTint="A6"/>
      <w:spacing w:val="30"/>
      <w:sz w:val="24"/>
      <w:szCs w:val="28"/>
    </w:rPr>
  </w:style>
  <w:style w:type="character" w:customStyle="1" w:styleId="Heading4Char">
    <w:name w:val="Heading 4 Char"/>
    <w:basedOn w:val="DefaultParagraphFont"/>
    <w:link w:val="Heading4"/>
    <w:rsid w:val="006C1FC7"/>
    <w:rPr>
      <w:rFonts w:ascii="Arial" w:hAnsi="Arial" w:cs="Times New Roman"/>
      <w:b/>
      <w:bCs/>
      <w:color w:val="1C5A24" w:themeColor="accent3" w:themeShade="80"/>
      <w:sz w:val="24"/>
      <w:szCs w:val="28"/>
    </w:rPr>
  </w:style>
  <w:style w:type="character" w:customStyle="1" w:styleId="Heading7Char">
    <w:name w:val="Heading 7 Char"/>
    <w:basedOn w:val="DefaultParagraphFont"/>
    <w:link w:val="Heading7"/>
    <w:rsid w:val="00FC3D10"/>
    <w:rPr>
      <w:rFonts w:ascii="Times New Roman" w:hAnsi="Times New Roman" w:cs="Times New Roman"/>
      <w:sz w:val="24"/>
      <w:szCs w:val="24"/>
    </w:rPr>
  </w:style>
  <w:style w:type="character" w:customStyle="1" w:styleId="Heading8Char">
    <w:name w:val="Heading 8 Char"/>
    <w:basedOn w:val="DefaultParagraphFont"/>
    <w:link w:val="Heading8"/>
    <w:rsid w:val="00FC3D10"/>
    <w:rPr>
      <w:rFonts w:ascii="Times New Roman" w:hAnsi="Times New Roman" w:cs="Times New Roman"/>
      <w:i/>
      <w:iCs/>
      <w:sz w:val="24"/>
      <w:szCs w:val="24"/>
    </w:rPr>
  </w:style>
  <w:style w:type="character" w:customStyle="1" w:styleId="Heading9Char">
    <w:name w:val="Heading 9 Char"/>
    <w:basedOn w:val="DefaultParagraphFont"/>
    <w:link w:val="Heading9"/>
    <w:rsid w:val="00FC3D10"/>
    <w:rPr>
      <w:rFonts w:ascii="Times New Roman" w:hAnsi="Times New Roman" w:cs="Arial"/>
    </w:rPr>
  </w:style>
  <w:style w:type="character" w:styleId="Hyperlink">
    <w:name w:val="Hyperlink"/>
    <w:basedOn w:val="DefaultParagraphFont"/>
    <w:uiPriority w:val="99"/>
    <w:rsid w:val="00532A70"/>
    <w:rPr>
      <w:rFonts w:asciiTheme="minorHAnsi" w:hAnsiTheme="minorHAnsi"/>
      <w:color w:val="0000FF"/>
      <w:sz w:val="24"/>
      <w:u w:val="single"/>
    </w:rPr>
  </w:style>
  <w:style w:type="paragraph" w:styleId="ListParagraph">
    <w:name w:val="List Paragraph"/>
    <w:basedOn w:val="Normal"/>
    <w:link w:val="ListParagraphChar"/>
    <w:uiPriority w:val="34"/>
    <w:qFormat/>
    <w:rsid w:val="00FC3D10"/>
    <w:pPr>
      <w:spacing w:after="200" w:line="276" w:lineRule="auto"/>
      <w:ind w:left="720"/>
      <w:contextualSpacing/>
    </w:pPr>
    <w:rPr>
      <w:rFonts w:ascii="Calibri" w:hAnsi="Calibri"/>
      <w:sz w:val="22"/>
      <w:szCs w:val="22"/>
    </w:rPr>
  </w:style>
  <w:style w:type="table" w:customStyle="1" w:styleId="MediumShading2-Accent11">
    <w:name w:val="Medium Shading 2 - Accent 11"/>
    <w:basedOn w:val="TableNormal"/>
    <w:uiPriority w:val="64"/>
    <w:rsid w:val="00FC3D10"/>
    <w:pPr>
      <w:spacing w:after="0" w:line="240" w:lineRule="auto"/>
    </w:pPr>
    <w:rPr>
      <w:rFonts w:ascii="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FC3D10"/>
  </w:style>
  <w:style w:type="paragraph" w:styleId="PlainText">
    <w:name w:val="Plain Text"/>
    <w:basedOn w:val="Normal"/>
    <w:link w:val="PlainTextChar"/>
    <w:rsid w:val="00FC3D10"/>
    <w:rPr>
      <w:rFonts w:ascii="Courier New" w:hAnsi="Courier New" w:cs="Courier New"/>
      <w:sz w:val="20"/>
      <w:szCs w:val="20"/>
    </w:rPr>
  </w:style>
  <w:style w:type="character" w:customStyle="1" w:styleId="PlainTextChar">
    <w:name w:val="Plain Text Char"/>
    <w:basedOn w:val="DefaultParagraphFont"/>
    <w:link w:val="PlainText"/>
    <w:rsid w:val="00FC3D10"/>
    <w:rPr>
      <w:rFonts w:ascii="Courier New" w:eastAsia="Times New Roman" w:hAnsi="Courier New" w:cs="Courier New"/>
      <w:sz w:val="20"/>
      <w:szCs w:val="20"/>
    </w:rPr>
  </w:style>
  <w:style w:type="numbering" w:customStyle="1" w:styleId="StyleBulleted">
    <w:name w:val="Style Bulleted"/>
    <w:basedOn w:val="NoList"/>
    <w:rsid w:val="00FC3D10"/>
    <w:pPr>
      <w:numPr>
        <w:numId w:val="1"/>
      </w:numPr>
    </w:pPr>
  </w:style>
  <w:style w:type="paragraph" w:styleId="Subtitle">
    <w:name w:val="Subtitle"/>
    <w:basedOn w:val="Normal"/>
    <w:next w:val="Normal"/>
    <w:link w:val="SubtitleChar"/>
    <w:qFormat/>
    <w:rsid w:val="00FC3D10"/>
    <w:pPr>
      <w:spacing w:after="60"/>
      <w:jc w:val="center"/>
      <w:outlineLvl w:val="1"/>
    </w:pPr>
    <w:rPr>
      <w:rFonts w:ascii="Cambria" w:hAnsi="Cambria"/>
    </w:rPr>
  </w:style>
  <w:style w:type="character" w:customStyle="1" w:styleId="SubtitleChar">
    <w:name w:val="Subtitle Char"/>
    <w:basedOn w:val="DefaultParagraphFont"/>
    <w:link w:val="Subtitle"/>
    <w:rsid w:val="00FC3D10"/>
    <w:rPr>
      <w:rFonts w:ascii="Cambria" w:eastAsia="Times New Roman" w:hAnsi="Cambria" w:cs="Times New Roman"/>
      <w:sz w:val="24"/>
      <w:szCs w:val="24"/>
    </w:rPr>
  </w:style>
  <w:style w:type="table" w:styleId="TableGrid">
    <w:name w:val="Table Grid"/>
    <w:basedOn w:val="TableNormal"/>
    <w:uiPriority w:val="59"/>
    <w:rsid w:val="00FC3D1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C3D10"/>
    <w:pPr>
      <w:suppressAutoHyphens/>
      <w:autoSpaceDN w:val="0"/>
      <w:spacing w:after="120"/>
      <w:textAlignment w:val="baseline"/>
    </w:pPr>
    <w:rPr>
      <w:rFonts w:ascii="Arial" w:eastAsia="MS Mincho" w:hAnsi="Arial"/>
      <w:spacing w:val="-5"/>
      <w:kern w:val="3"/>
      <w:sz w:val="22"/>
      <w:szCs w:val="20"/>
      <w:lang w:eastAsia="zh-CN"/>
    </w:rPr>
  </w:style>
  <w:style w:type="paragraph" w:styleId="Title">
    <w:name w:val="Title"/>
    <w:basedOn w:val="Normal"/>
    <w:next w:val="Normal"/>
    <w:link w:val="TitleChar"/>
    <w:qFormat/>
    <w:rsid w:val="00FC3D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C3D10"/>
    <w:rPr>
      <w:rFonts w:ascii="Cambria" w:eastAsia="Times New Roman" w:hAnsi="Cambria" w:cs="Times New Roman"/>
      <w:b/>
      <w:bCs/>
      <w:kern w:val="28"/>
      <w:sz w:val="32"/>
      <w:szCs w:val="32"/>
    </w:rPr>
  </w:style>
  <w:style w:type="paragraph" w:styleId="TOC1">
    <w:name w:val="toc 1"/>
    <w:basedOn w:val="Normal"/>
    <w:next w:val="Normal"/>
    <w:autoRedefine/>
    <w:uiPriority w:val="39"/>
    <w:unhideWhenUsed/>
    <w:rsid w:val="00773CC3"/>
    <w:pPr>
      <w:spacing w:after="100"/>
    </w:pPr>
    <w:rPr>
      <w:rFonts w:asciiTheme="minorHAnsi" w:hAnsiTheme="minorHAnsi"/>
      <w:b/>
      <w:caps/>
    </w:rPr>
  </w:style>
  <w:style w:type="paragraph" w:styleId="TOC2">
    <w:name w:val="toc 2"/>
    <w:basedOn w:val="Normal"/>
    <w:next w:val="Normal"/>
    <w:autoRedefine/>
    <w:uiPriority w:val="39"/>
    <w:unhideWhenUsed/>
    <w:rsid w:val="00A8556A"/>
    <w:pPr>
      <w:spacing w:after="100"/>
      <w:ind w:left="240"/>
    </w:pPr>
    <w:rPr>
      <w:rFonts w:asciiTheme="minorHAnsi" w:hAnsiTheme="minorHAnsi"/>
      <w:sz w:val="22"/>
    </w:rPr>
  </w:style>
  <w:style w:type="paragraph" w:styleId="TOC3">
    <w:name w:val="toc 3"/>
    <w:basedOn w:val="Normal"/>
    <w:next w:val="Normal"/>
    <w:autoRedefine/>
    <w:uiPriority w:val="39"/>
    <w:rsid w:val="00FC3D10"/>
    <w:pPr>
      <w:ind w:left="480"/>
    </w:pPr>
    <w:rPr>
      <w:i/>
      <w:iCs/>
      <w:sz w:val="20"/>
      <w:szCs w:val="20"/>
    </w:rPr>
  </w:style>
  <w:style w:type="paragraph" w:styleId="TOC4">
    <w:name w:val="toc 4"/>
    <w:basedOn w:val="Normal"/>
    <w:next w:val="Normal"/>
    <w:autoRedefine/>
    <w:semiHidden/>
    <w:rsid w:val="00FC3D10"/>
    <w:pPr>
      <w:ind w:left="720"/>
    </w:pPr>
    <w:rPr>
      <w:sz w:val="18"/>
      <w:szCs w:val="18"/>
    </w:rPr>
  </w:style>
  <w:style w:type="paragraph" w:styleId="TOC5">
    <w:name w:val="toc 5"/>
    <w:basedOn w:val="Normal"/>
    <w:next w:val="Normal"/>
    <w:autoRedefine/>
    <w:semiHidden/>
    <w:rsid w:val="00FC3D10"/>
    <w:pPr>
      <w:ind w:left="960"/>
    </w:pPr>
    <w:rPr>
      <w:sz w:val="18"/>
      <w:szCs w:val="18"/>
    </w:rPr>
  </w:style>
  <w:style w:type="paragraph" w:styleId="TOC6">
    <w:name w:val="toc 6"/>
    <w:basedOn w:val="Normal"/>
    <w:next w:val="Normal"/>
    <w:autoRedefine/>
    <w:semiHidden/>
    <w:rsid w:val="00FC3D10"/>
    <w:pPr>
      <w:ind w:left="1200"/>
    </w:pPr>
    <w:rPr>
      <w:sz w:val="18"/>
      <w:szCs w:val="18"/>
    </w:rPr>
  </w:style>
  <w:style w:type="paragraph" w:styleId="TOC7">
    <w:name w:val="toc 7"/>
    <w:basedOn w:val="Normal"/>
    <w:next w:val="Normal"/>
    <w:autoRedefine/>
    <w:semiHidden/>
    <w:rsid w:val="00FC3D10"/>
    <w:pPr>
      <w:ind w:left="1440"/>
    </w:pPr>
    <w:rPr>
      <w:sz w:val="18"/>
      <w:szCs w:val="18"/>
    </w:rPr>
  </w:style>
  <w:style w:type="paragraph" w:styleId="TOC8">
    <w:name w:val="toc 8"/>
    <w:basedOn w:val="Normal"/>
    <w:next w:val="Normal"/>
    <w:autoRedefine/>
    <w:semiHidden/>
    <w:rsid w:val="00FC3D10"/>
    <w:pPr>
      <w:ind w:left="1680"/>
    </w:pPr>
    <w:rPr>
      <w:sz w:val="18"/>
      <w:szCs w:val="18"/>
    </w:rPr>
  </w:style>
  <w:style w:type="paragraph" w:styleId="TOC9">
    <w:name w:val="toc 9"/>
    <w:basedOn w:val="Normal"/>
    <w:next w:val="Normal"/>
    <w:autoRedefine/>
    <w:semiHidden/>
    <w:rsid w:val="00FC3D10"/>
    <w:pPr>
      <w:ind w:left="1920"/>
    </w:pPr>
    <w:rPr>
      <w:sz w:val="18"/>
      <w:szCs w:val="18"/>
    </w:rPr>
  </w:style>
  <w:style w:type="table" w:customStyle="1" w:styleId="MediumShading2-Accent12">
    <w:name w:val="Medium Shading 2 - Accent 12"/>
    <w:basedOn w:val="TableNormal"/>
    <w:uiPriority w:val="64"/>
    <w:rsid w:val="00FC3D10"/>
    <w:pPr>
      <w:spacing w:after="0" w:line="240" w:lineRule="auto"/>
    </w:pPr>
    <w:rPr>
      <w:rFonts w:ascii="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6C1FC7"/>
    <w:pPr>
      <w:spacing w:after="0" w:line="240" w:lineRule="auto"/>
    </w:pPr>
    <w:rPr>
      <w:rFonts w:eastAsiaTheme="minorEastAsia"/>
    </w:rPr>
  </w:style>
  <w:style w:type="character" w:customStyle="1" w:styleId="NoSpacingChar">
    <w:name w:val="No Spacing Char"/>
    <w:basedOn w:val="DefaultParagraphFont"/>
    <w:link w:val="NoSpacing"/>
    <w:uiPriority w:val="1"/>
    <w:rsid w:val="006C1FC7"/>
    <w:rPr>
      <w:rFonts w:eastAsiaTheme="minorEastAsia"/>
    </w:rPr>
  </w:style>
  <w:style w:type="paragraph" w:styleId="TOCHeading">
    <w:name w:val="TOC Heading"/>
    <w:basedOn w:val="Heading1"/>
    <w:next w:val="Normal"/>
    <w:uiPriority w:val="39"/>
    <w:unhideWhenUsed/>
    <w:qFormat/>
    <w:rsid w:val="002A1455"/>
    <w:pPr>
      <w:keepLines/>
      <w:spacing w:before="480" w:after="0" w:line="276" w:lineRule="auto"/>
      <w:outlineLvl w:val="9"/>
    </w:pPr>
    <w:rPr>
      <w:rFonts w:asciiTheme="majorHAnsi" w:eastAsiaTheme="majorEastAsia" w:hAnsiTheme="majorHAnsi" w:cstheme="majorBidi"/>
      <w:smallCaps w:val="0"/>
      <w:color w:val="auto"/>
      <w:spacing w:val="0"/>
      <w:kern w:val="0"/>
      <w:sz w:val="28"/>
      <w:szCs w:val="28"/>
    </w:rPr>
  </w:style>
  <w:style w:type="character" w:customStyle="1" w:styleId="ListParagraphChar">
    <w:name w:val="List Paragraph Char"/>
    <w:link w:val="ListParagraph"/>
    <w:uiPriority w:val="34"/>
    <w:rsid w:val="00EC2937"/>
    <w:rPr>
      <w:rFonts w:ascii="Calibri" w:hAnsi="Calibri" w:cs="Times New Roman"/>
    </w:rPr>
  </w:style>
  <w:style w:type="paragraph" w:customStyle="1" w:styleId="Bulletedlistlastitem">
    <w:name w:val="Bulleted list last item"/>
    <w:basedOn w:val="Normal"/>
    <w:rsid w:val="00F74968"/>
    <w:pPr>
      <w:numPr>
        <w:numId w:val="4"/>
      </w:numPr>
      <w:spacing w:before="20" w:after="120"/>
    </w:pPr>
    <w:rPr>
      <w:rFonts w:ascii="Garamond" w:hAnsi="Garamond" w:cs="Arial"/>
      <w:sz w:val="20"/>
      <w:szCs w:val="20"/>
    </w:rPr>
  </w:style>
  <w:style w:type="paragraph" w:customStyle="1" w:styleId="1stlinewspace">
    <w:name w:val="1st line w/space"/>
    <w:basedOn w:val="Normal"/>
    <w:link w:val="1stlinewspaceCharChar"/>
    <w:rsid w:val="00F74968"/>
    <w:pPr>
      <w:spacing w:before="100"/>
    </w:pPr>
    <w:rPr>
      <w:rFonts w:ascii="Garamond" w:hAnsi="Garamond"/>
      <w:bCs/>
      <w:sz w:val="20"/>
    </w:rPr>
  </w:style>
  <w:style w:type="numbering" w:customStyle="1" w:styleId="Bulletedlist">
    <w:name w:val="Bulleted list"/>
    <w:basedOn w:val="NoList"/>
    <w:rsid w:val="00F74968"/>
    <w:pPr>
      <w:numPr>
        <w:numId w:val="3"/>
      </w:numPr>
    </w:pPr>
  </w:style>
  <w:style w:type="character" w:customStyle="1" w:styleId="1stlinewspaceCharChar">
    <w:name w:val="1st line w/space Char Char"/>
    <w:basedOn w:val="DefaultParagraphFont"/>
    <w:link w:val="1stlinewspace"/>
    <w:rsid w:val="00F74968"/>
    <w:rPr>
      <w:rFonts w:ascii="Garamond" w:hAnsi="Garamond" w:cs="Times New Roman"/>
      <w:bCs/>
      <w:sz w:val="20"/>
      <w:szCs w:val="24"/>
    </w:rPr>
  </w:style>
  <w:style w:type="paragraph" w:styleId="Revision">
    <w:name w:val="Revision"/>
    <w:hidden/>
    <w:uiPriority w:val="99"/>
    <w:semiHidden/>
    <w:rsid w:val="0067275C"/>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F25B0"/>
  </w:style>
  <w:style w:type="paragraph" w:customStyle="1" w:styleId="Achievement">
    <w:name w:val="Achievement"/>
    <w:basedOn w:val="BodyText"/>
    <w:rsid w:val="003C03D4"/>
    <w:pPr>
      <w:numPr>
        <w:numId w:val="5"/>
      </w:numPr>
      <w:spacing w:after="60" w:line="220" w:lineRule="atLeast"/>
      <w:jc w:val="both"/>
    </w:pPr>
    <w:rPr>
      <w:rFonts w:ascii="Arial" w:eastAsia="Times New Roman" w:hAnsi="Arial"/>
      <w:sz w:val="20"/>
    </w:rPr>
  </w:style>
  <w:style w:type="character" w:styleId="FollowedHyperlink">
    <w:name w:val="FollowedHyperlink"/>
    <w:basedOn w:val="DefaultParagraphFont"/>
    <w:uiPriority w:val="99"/>
    <w:semiHidden/>
    <w:unhideWhenUsed/>
    <w:rsid w:val="00A65B1B"/>
    <w:rPr>
      <w:color w:val="5EAEFF" w:themeColor="followedHyperlink"/>
      <w:u w:val="single"/>
    </w:rPr>
  </w:style>
  <w:style w:type="paragraph" w:styleId="NormalWeb">
    <w:name w:val="Normal (Web)"/>
    <w:basedOn w:val="Normal"/>
    <w:uiPriority w:val="99"/>
    <w:semiHidden/>
    <w:unhideWhenUsed/>
    <w:rsid w:val="00F53858"/>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Bulleted"/>
    <w:pPr>
      <w:numPr>
        <w:numId w:val="1"/>
      </w:numPr>
    </w:pPr>
  </w:style>
  <w:style w:type="numbering" w:customStyle="1" w:styleId="FootnoteTextChar">
    <w:name w:val="Bulleted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6184">
      <w:bodyDiv w:val="1"/>
      <w:marLeft w:val="0"/>
      <w:marRight w:val="0"/>
      <w:marTop w:val="0"/>
      <w:marBottom w:val="0"/>
      <w:divBdr>
        <w:top w:val="none" w:sz="0" w:space="0" w:color="auto"/>
        <w:left w:val="none" w:sz="0" w:space="0" w:color="auto"/>
        <w:bottom w:val="none" w:sz="0" w:space="0" w:color="auto"/>
        <w:right w:val="none" w:sz="0" w:space="0" w:color="auto"/>
      </w:divBdr>
    </w:div>
    <w:div w:id="627468253">
      <w:bodyDiv w:val="1"/>
      <w:marLeft w:val="0"/>
      <w:marRight w:val="0"/>
      <w:marTop w:val="0"/>
      <w:marBottom w:val="0"/>
      <w:divBdr>
        <w:top w:val="none" w:sz="0" w:space="0" w:color="auto"/>
        <w:left w:val="none" w:sz="0" w:space="0" w:color="auto"/>
        <w:bottom w:val="none" w:sz="0" w:space="0" w:color="auto"/>
        <w:right w:val="none" w:sz="0" w:space="0" w:color="auto"/>
      </w:divBdr>
    </w:div>
    <w:div w:id="814756732">
      <w:bodyDiv w:val="1"/>
      <w:marLeft w:val="0"/>
      <w:marRight w:val="0"/>
      <w:marTop w:val="0"/>
      <w:marBottom w:val="0"/>
      <w:divBdr>
        <w:top w:val="none" w:sz="0" w:space="0" w:color="auto"/>
        <w:left w:val="none" w:sz="0" w:space="0" w:color="auto"/>
        <w:bottom w:val="none" w:sz="0" w:space="0" w:color="auto"/>
        <w:right w:val="none" w:sz="0" w:space="0" w:color="auto"/>
      </w:divBdr>
    </w:div>
    <w:div w:id="985092466">
      <w:bodyDiv w:val="1"/>
      <w:marLeft w:val="0"/>
      <w:marRight w:val="0"/>
      <w:marTop w:val="0"/>
      <w:marBottom w:val="0"/>
      <w:divBdr>
        <w:top w:val="none" w:sz="0" w:space="0" w:color="auto"/>
        <w:left w:val="none" w:sz="0" w:space="0" w:color="auto"/>
        <w:bottom w:val="none" w:sz="0" w:space="0" w:color="auto"/>
        <w:right w:val="none" w:sz="0" w:space="0" w:color="auto"/>
      </w:divBdr>
    </w:div>
    <w:div w:id="1140150465">
      <w:bodyDiv w:val="1"/>
      <w:marLeft w:val="0"/>
      <w:marRight w:val="0"/>
      <w:marTop w:val="0"/>
      <w:marBottom w:val="0"/>
      <w:divBdr>
        <w:top w:val="none" w:sz="0" w:space="0" w:color="auto"/>
        <w:left w:val="none" w:sz="0" w:space="0" w:color="auto"/>
        <w:bottom w:val="none" w:sz="0" w:space="0" w:color="auto"/>
        <w:right w:val="none" w:sz="0" w:space="0" w:color="auto"/>
      </w:divBdr>
      <w:divsChild>
        <w:div w:id="1873418487">
          <w:marLeft w:val="547"/>
          <w:marRight w:val="0"/>
          <w:marTop w:val="0"/>
          <w:marBottom w:val="0"/>
          <w:divBdr>
            <w:top w:val="none" w:sz="0" w:space="0" w:color="auto"/>
            <w:left w:val="none" w:sz="0" w:space="0" w:color="auto"/>
            <w:bottom w:val="none" w:sz="0" w:space="0" w:color="auto"/>
            <w:right w:val="none" w:sz="0" w:space="0" w:color="auto"/>
          </w:divBdr>
        </w:div>
      </w:divsChild>
    </w:div>
    <w:div w:id="1329862562">
      <w:bodyDiv w:val="1"/>
      <w:marLeft w:val="0"/>
      <w:marRight w:val="0"/>
      <w:marTop w:val="0"/>
      <w:marBottom w:val="0"/>
      <w:divBdr>
        <w:top w:val="none" w:sz="0" w:space="0" w:color="auto"/>
        <w:left w:val="none" w:sz="0" w:space="0" w:color="auto"/>
        <w:bottom w:val="none" w:sz="0" w:space="0" w:color="auto"/>
        <w:right w:val="none" w:sz="0" w:space="0" w:color="auto"/>
      </w:divBdr>
    </w:div>
    <w:div w:id="1371301357">
      <w:bodyDiv w:val="1"/>
      <w:marLeft w:val="0"/>
      <w:marRight w:val="0"/>
      <w:marTop w:val="0"/>
      <w:marBottom w:val="0"/>
      <w:divBdr>
        <w:top w:val="none" w:sz="0" w:space="0" w:color="auto"/>
        <w:left w:val="none" w:sz="0" w:space="0" w:color="auto"/>
        <w:bottom w:val="none" w:sz="0" w:space="0" w:color="auto"/>
        <w:right w:val="none" w:sz="0" w:space="0" w:color="auto"/>
      </w:divBdr>
    </w:div>
    <w:div w:id="1383794081">
      <w:bodyDiv w:val="1"/>
      <w:marLeft w:val="0"/>
      <w:marRight w:val="0"/>
      <w:marTop w:val="0"/>
      <w:marBottom w:val="0"/>
      <w:divBdr>
        <w:top w:val="none" w:sz="0" w:space="0" w:color="auto"/>
        <w:left w:val="none" w:sz="0" w:space="0" w:color="auto"/>
        <w:bottom w:val="none" w:sz="0" w:space="0" w:color="auto"/>
        <w:right w:val="none" w:sz="0" w:space="0" w:color="auto"/>
      </w:divBdr>
    </w:div>
    <w:div w:id="1387027833">
      <w:bodyDiv w:val="1"/>
      <w:marLeft w:val="0"/>
      <w:marRight w:val="0"/>
      <w:marTop w:val="0"/>
      <w:marBottom w:val="0"/>
      <w:divBdr>
        <w:top w:val="none" w:sz="0" w:space="0" w:color="auto"/>
        <w:left w:val="none" w:sz="0" w:space="0" w:color="auto"/>
        <w:bottom w:val="none" w:sz="0" w:space="0" w:color="auto"/>
        <w:right w:val="none" w:sz="0" w:space="0" w:color="auto"/>
      </w:divBdr>
    </w:div>
    <w:div w:id="1441753557">
      <w:bodyDiv w:val="1"/>
      <w:marLeft w:val="0"/>
      <w:marRight w:val="0"/>
      <w:marTop w:val="0"/>
      <w:marBottom w:val="0"/>
      <w:divBdr>
        <w:top w:val="none" w:sz="0" w:space="0" w:color="auto"/>
        <w:left w:val="none" w:sz="0" w:space="0" w:color="auto"/>
        <w:bottom w:val="none" w:sz="0" w:space="0" w:color="auto"/>
        <w:right w:val="none" w:sz="0" w:space="0" w:color="auto"/>
      </w:divBdr>
    </w:div>
    <w:div w:id="1505703003">
      <w:bodyDiv w:val="1"/>
      <w:marLeft w:val="0"/>
      <w:marRight w:val="0"/>
      <w:marTop w:val="0"/>
      <w:marBottom w:val="0"/>
      <w:divBdr>
        <w:top w:val="none" w:sz="0" w:space="0" w:color="auto"/>
        <w:left w:val="none" w:sz="0" w:space="0" w:color="auto"/>
        <w:bottom w:val="none" w:sz="0" w:space="0" w:color="auto"/>
        <w:right w:val="none" w:sz="0" w:space="0" w:color="auto"/>
      </w:divBdr>
    </w:div>
    <w:div w:id="1547834865">
      <w:bodyDiv w:val="1"/>
      <w:marLeft w:val="0"/>
      <w:marRight w:val="0"/>
      <w:marTop w:val="0"/>
      <w:marBottom w:val="0"/>
      <w:divBdr>
        <w:top w:val="none" w:sz="0" w:space="0" w:color="auto"/>
        <w:left w:val="none" w:sz="0" w:space="0" w:color="auto"/>
        <w:bottom w:val="none" w:sz="0" w:space="0" w:color="auto"/>
        <w:right w:val="none" w:sz="0" w:space="0" w:color="auto"/>
      </w:divBdr>
    </w:div>
    <w:div w:id="1656715242">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21271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sgbc.org/pilotcredits/New-Construction/v20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gbc.org/credits/new-construction/v2009/innovation-catalog"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usgbc.org/credi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pkeep">
      <a:dk1>
        <a:sysClr val="windowText" lastClr="000000"/>
      </a:dk1>
      <a:lt1>
        <a:sysClr val="window" lastClr="FFFFFF"/>
      </a:lt1>
      <a:dk2>
        <a:srgbClr val="073E87"/>
      </a:dk2>
      <a:lt2>
        <a:srgbClr val="C6E7FC"/>
      </a:lt2>
      <a:accent1>
        <a:srgbClr val="31B6FD"/>
      </a:accent1>
      <a:accent2>
        <a:srgbClr val="4584D3"/>
      </a:accent2>
      <a:accent3>
        <a:srgbClr val="39B54A"/>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BF5903-5CBC-4800-9071-4B4B393C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St. Julien Hotel &amp; Spa Retro-commissioning</vt:lpstr>
    </vt:vector>
  </TitlesOfParts>
  <Company>Upkeep Energy Group</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Julien Hotel &amp; Spa Retro-commissioning</dc:title>
  <dc:creator>Jess</dc:creator>
  <cp:lastModifiedBy>Jessica</cp:lastModifiedBy>
  <cp:revision>7</cp:revision>
  <cp:lastPrinted>2013-11-13T21:56:00Z</cp:lastPrinted>
  <dcterms:created xsi:type="dcterms:W3CDTF">2015-10-23T17:47:00Z</dcterms:created>
  <dcterms:modified xsi:type="dcterms:W3CDTF">2015-10-26T03:56:00Z</dcterms:modified>
</cp:coreProperties>
</file>